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Минэкономики и терразвития СО от 29.03.2018 N 17</w:t>
              <w:br/>
              <w:t xml:space="preserve">(ред. от 28.10.2024)</w:t>
              <w:br/>
              <w:t xml:space="preserve">"Об утверждении Методических рекомендаций по составлению уведомления о проведении публичных консультаций и заключения о проведении оценки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Методических рекомендаций по проведению публичных консультаций"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ЭКОНОМИКИ И ТЕРРИТОРИАЛЬНОГО РАЗВИТИЯ</w:t>
      </w:r>
    </w:p>
    <w:p>
      <w:pPr>
        <w:pStyle w:val="2"/>
        <w:jc w:val="center"/>
      </w:pPr>
      <w:r>
        <w:rPr>
          <w:sz w:val="20"/>
        </w:rPr>
        <w:t xml:space="preserve">СВЕРДЛОВСКОЙ ОБЛАСТИ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29 марта 2018 г. N 17</w:t>
      </w:r>
    </w:p>
    <w:p>
      <w:pPr>
        <w:pStyle w:val="2"/>
        <w:jc w:val="center"/>
      </w:pPr>
      <w:r>
        <w:rPr>
          <w:sz w:val="20"/>
        </w:rPr>
      </w:r>
    </w:p>
    <w:p>
      <w:pPr>
        <w:pStyle w:val="2"/>
        <w:jc w:val="center"/>
      </w:pPr>
      <w:r>
        <w:rPr>
          <w:sz w:val="20"/>
        </w:rPr>
        <w:t xml:space="preserve">ОБ УТВЕРЖДЕНИИ МЕТОДИЧЕСКИХ РЕКОМЕНДАЦИЙ ПО СОСТАВЛЕНИЮ</w:t>
      </w:r>
    </w:p>
    <w:p>
      <w:pPr>
        <w:pStyle w:val="2"/>
        <w:jc w:val="center"/>
      </w:pPr>
      <w:r>
        <w:rPr>
          <w:sz w:val="20"/>
        </w:rPr>
        <w:t xml:space="preserve">УВЕДОМЛЕНИЯ О ПРОВЕДЕНИИ ПУБЛИЧНЫХ КОНСУЛЬТАЦИЙ И</w:t>
      </w:r>
    </w:p>
    <w:p>
      <w:pPr>
        <w:pStyle w:val="2"/>
        <w:jc w:val="center"/>
      </w:pPr>
      <w:r>
        <w:rPr>
          <w:sz w:val="20"/>
        </w:rPr>
        <w:t xml:space="preserve">ЗАКЛЮЧЕНИЯ О ПРОВЕДЕНИИ ОЦЕНКИ РЕГУЛИРУЮЩЕГО ВОЗДЕЙСТВИЯ,</w:t>
      </w:r>
    </w:p>
    <w:p>
      <w:pPr>
        <w:pStyle w:val="2"/>
        <w:jc w:val="center"/>
      </w:pPr>
      <w:r>
        <w:rPr>
          <w:sz w:val="20"/>
        </w:rPr>
        <w:t xml:space="preserve">МЕТОДИКИ ОЦЕНКИ СТАНДАРТНЫХ ИЗДЕРЖЕК</w:t>
      </w:r>
    </w:p>
    <w:p>
      <w:pPr>
        <w:pStyle w:val="2"/>
        <w:jc w:val="center"/>
      </w:pPr>
      <w:r>
        <w:rPr>
          <w:sz w:val="20"/>
        </w:rPr>
        <w:t xml:space="preserve">СУБЪЕКТОВ ПРЕДПРИНИМАТЕЛЬСКОЙ И</w:t>
      </w:r>
    </w:p>
    <w:p>
      <w:pPr>
        <w:pStyle w:val="2"/>
        <w:jc w:val="center"/>
      </w:pPr>
      <w:r>
        <w:rPr>
          <w:sz w:val="20"/>
        </w:rPr>
        <w:t xml:space="preserve">ИНОЙ ЭКОНОМИЧЕСКОЙ ДЕЯТЕЛЬНОСТИ, ВОЗНИКАЮЩИХ В СВЯЗИ</w:t>
      </w:r>
    </w:p>
    <w:p>
      <w:pPr>
        <w:pStyle w:val="2"/>
        <w:jc w:val="center"/>
      </w:pPr>
      <w:r>
        <w:rPr>
          <w:sz w:val="20"/>
        </w:rPr>
        <w:t xml:space="preserve">С ИСПОЛНЕНИЕМ ТРЕБОВАНИЙ РЕГУЛИРОВАНИЯ,</w:t>
      </w:r>
    </w:p>
    <w:p>
      <w:pPr>
        <w:pStyle w:val="2"/>
        <w:jc w:val="center"/>
      </w:pPr>
      <w:r>
        <w:rPr>
          <w:sz w:val="20"/>
        </w:rPr>
        <w:t xml:space="preserve">А ТАКЖЕ МЕТОДИЧЕСКИХ РЕКОМЕНДАЦИЙ</w:t>
      </w:r>
    </w:p>
    <w:p>
      <w:pPr>
        <w:pStyle w:val="2"/>
        <w:jc w:val="center"/>
      </w:pPr>
      <w:r>
        <w:rPr>
          <w:sz w:val="20"/>
        </w:rPr>
        <w:t xml:space="preserve">ПО ПРОВЕДЕНИЮ ПУБЛИЧНЫХ КОНСУЛЬТАЦИЙ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Минэкономики и терразвития СО от 28.11.2019 </w:t>
            </w:r>
            <w:hyperlink w:history="0" r:id="rId8" w:tooltip="Приказ Минэкономики и терразвития СО от 28.11.2019 N 78 (ред. от 15.02.2023) &quot;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03.2018 N 17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 {КонсультантПлюс}">
              <w:r>
                <w:rPr>
                  <w:sz w:val="20"/>
                  <w:color w:val="0000ff"/>
                </w:rPr>
                <w:t xml:space="preserve">N 78</w:t>
              </w:r>
            </w:hyperlink>
            <w:r>
              <w:rPr>
                <w:sz w:val="20"/>
                <w:color w:val="392c69"/>
              </w:rPr>
              <w:t xml:space="preserve">,</w:t>
            </w:r>
          </w:p>
          <w:p>
            <w:pPr>
              <w:pStyle w:val="0"/>
              <w:jc w:val="center"/>
            </w:pPr>
            <w:r>
              <w:rPr>
                <w:sz w:val="20"/>
                <w:color w:val="392c69"/>
              </w:rPr>
              <w:t xml:space="preserve">от 22.01.2020 </w:t>
            </w:r>
            <w:hyperlink w:history="0" r:id="rId9" w:tooltip="Приказ Минэкономики и терразвития СО от 22.01.2020 N 6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их составлению,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ких рекомендаций по проведению публичных консультаций&quot; {КонсультантПлюс}">
              <w:r>
                <w:rPr>
                  <w:sz w:val="20"/>
                  <w:color w:val="0000ff"/>
                </w:rPr>
                <w:t xml:space="preserve">N 6</w:t>
              </w:r>
            </w:hyperlink>
            <w:r>
              <w:rPr>
                <w:sz w:val="20"/>
                <w:color w:val="392c69"/>
              </w:rPr>
              <w:t xml:space="preserve">, от 01.10.2020 </w:t>
            </w:r>
            <w:hyperlink w:history="0" r:id="rId10" w:tooltip="Приказ Минэкономики и терразвития СО от 01.10.2020 N 118 (ред. от 04.12.2020) &quot;О внесении изменений в Методические рекомендации по составлению уведомления о проведении публичных консультаций и заключения о проведении оценки регулирующего воздействия, утвержденные Приказом Министерства экономики и территориального развития Свердловской области от 29.03.2018 N 17&quot; {КонсультантПлюс}">
              <w:r>
                <w:rPr>
                  <w:sz w:val="20"/>
                  <w:color w:val="0000ff"/>
                </w:rPr>
                <w:t xml:space="preserve">N 118</w:t>
              </w:r>
            </w:hyperlink>
            <w:r>
              <w:rPr>
                <w:sz w:val="20"/>
                <w:color w:val="392c69"/>
              </w:rPr>
              <w:t xml:space="preserve">, от 14.10.2020 </w:t>
            </w:r>
            <w:hyperlink w:history="0" r:id="rId11" w:tooltip="Приказ Минэкономики и терразвития СО от 14.10.2020 N 125 &quot;О внесении изменений в Методические рекомендации по составлению уведомления о проведении публичных консультаций и заключения о проведении оценки регулирующего воздействия, утвержденные Приказом Министерства экономики и территориального развития Свердловской области от 29.03.2018 N 17&quot; {КонсультантПлюс}">
              <w:r>
                <w:rPr>
                  <w:sz w:val="20"/>
                  <w:color w:val="0000ff"/>
                </w:rPr>
                <w:t xml:space="preserve">N 125</w:t>
              </w:r>
            </w:hyperlink>
            <w:r>
              <w:rPr>
                <w:sz w:val="20"/>
                <w:color w:val="392c69"/>
              </w:rPr>
              <w:t xml:space="preserve">,</w:t>
            </w:r>
          </w:p>
          <w:p>
            <w:pPr>
              <w:pStyle w:val="0"/>
              <w:jc w:val="center"/>
            </w:pPr>
            <w:r>
              <w:rPr>
                <w:sz w:val="20"/>
                <w:color w:val="392c69"/>
              </w:rPr>
              <w:t xml:space="preserve">от 04.12.2020 </w:t>
            </w:r>
            <w:hyperlink w:history="0" r:id="rId12" w:tooltip="Приказ Минэкономики и терразвития СО от 04.12.2020 N 154 &quot;О внесении изменений в отдельные приказы Министерства экономики и территориального развития Свердловской области&quot; {КонсультантПлюс}">
              <w:r>
                <w:rPr>
                  <w:sz w:val="20"/>
                  <w:color w:val="0000ff"/>
                </w:rPr>
                <w:t xml:space="preserve">N 154</w:t>
              </w:r>
            </w:hyperlink>
            <w:r>
              <w:rPr>
                <w:sz w:val="20"/>
                <w:color w:val="392c69"/>
              </w:rPr>
              <w:t xml:space="preserve">, от 06.09.2022 </w:t>
            </w:r>
            <w:hyperlink w:history="0" r:id="rId13"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N 90</w:t>
              </w:r>
            </w:hyperlink>
            <w:r>
              <w:rPr>
                <w:sz w:val="20"/>
                <w:color w:val="392c69"/>
              </w:rPr>
              <w:t xml:space="preserve">, от 28.10.2024 </w:t>
            </w:r>
            <w:hyperlink w:history="0" r:id="rId14"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N 14-НПА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5"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w:t>
      </w:r>
      <w:hyperlink w:history="0" r:id="rId16"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Постановлением</w:t>
        </w:r>
      </w:hyperlink>
      <w:r>
        <w:rPr>
          <w:sz w:val="20"/>
        </w:rPr>
        <w:t xml:space="preserve"> Правительства Свердловской области от 26.11.2014 N 1051-ПП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и в целях совершенствования механизмов проведения оценки регулирующего воздействия в Свердловской области приказываю:</w:t>
      </w:r>
    </w:p>
    <w:p>
      <w:pPr>
        <w:pStyle w:val="0"/>
        <w:jc w:val="both"/>
      </w:pPr>
      <w:r>
        <w:rPr>
          <w:sz w:val="20"/>
        </w:rPr>
        <w:t xml:space="preserve">(в ред. </w:t>
      </w:r>
      <w:hyperlink w:history="0" r:id="rId17"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1 - 2. Утратили силу. - </w:t>
      </w:r>
      <w:hyperlink w:history="0" r:id="rId18" w:tooltip="Приказ Минэкономики и терразвития СО от 28.11.2019 N 78 (ред. от 15.02.2023) &quot;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03.2018 N 17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 {КонсультантПлюс}">
        <w:r>
          <w:rPr>
            <w:sz w:val="20"/>
            <w:color w:val="0000ff"/>
          </w:rPr>
          <w:t xml:space="preserve">Приказ</w:t>
        </w:r>
      </w:hyperlink>
      <w:r>
        <w:rPr>
          <w:sz w:val="20"/>
        </w:rPr>
        <w:t xml:space="preserve"> Минэкономики и терразвития СО от 28.11.2019 N 78.</w:t>
      </w:r>
    </w:p>
    <w:p>
      <w:pPr>
        <w:pStyle w:val="0"/>
        <w:spacing w:before="200" w:lineRule="auto"/>
        <w:ind w:firstLine="540"/>
        <w:jc w:val="both"/>
      </w:pPr>
      <w:r>
        <w:rPr>
          <w:sz w:val="20"/>
        </w:rPr>
        <w:t xml:space="preserve">3. Утвердить:</w:t>
      </w:r>
    </w:p>
    <w:p>
      <w:pPr>
        <w:pStyle w:val="0"/>
        <w:spacing w:before="200" w:lineRule="auto"/>
        <w:ind w:firstLine="540"/>
        <w:jc w:val="both"/>
      </w:pPr>
      <w:r>
        <w:rPr>
          <w:sz w:val="20"/>
        </w:rPr>
        <w:t xml:space="preserve">1) Методические </w:t>
      </w:r>
      <w:hyperlink w:history="0" w:anchor="P140" w:tooltip="МЕТОДИЧЕСКИЕ РЕКОМЕНДАЦИИ">
        <w:r>
          <w:rPr>
            <w:sz w:val="20"/>
            <w:color w:val="0000ff"/>
          </w:rPr>
          <w:t xml:space="preserve">рекомендации</w:t>
        </w:r>
      </w:hyperlink>
      <w:r>
        <w:rPr>
          <w:sz w:val="20"/>
        </w:rPr>
        <w:t xml:space="preserve"> по составлению уведомления о проведении публичных консультаций и заключения о проведении оценки регулирующего воздействия (прилагаются);</w:t>
      </w:r>
    </w:p>
    <w:p>
      <w:pPr>
        <w:pStyle w:val="0"/>
        <w:spacing w:before="200" w:lineRule="auto"/>
        <w:ind w:firstLine="540"/>
        <w:jc w:val="both"/>
      </w:pPr>
      <w:r>
        <w:rPr>
          <w:sz w:val="20"/>
        </w:rPr>
        <w:t xml:space="preserve">2) </w:t>
      </w:r>
      <w:hyperlink w:history="0" w:anchor="P505" w:tooltip="МЕТОДИКА">
        <w:r>
          <w:rPr>
            <w:sz w:val="20"/>
            <w:color w:val="0000ff"/>
          </w:rPr>
          <w:t xml:space="preserve">Методику</w:t>
        </w:r>
      </w:hyperlink>
      <w:r>
        <w:rPr>
          <w:sz w:val="20"/>
        </w:rPr>
        <w:t xml:space="preserve">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(прилагается);</w:t>
      </w:r>
    </w:p>
    <w:p>
      <w:pPr>
        <w:pStyle w:val="0"/>
        <w:spacing w:before="200" w:lineRule="auto"/>
        <w:ind w:firstLine="540"/>
        <w:jc w:val="both"/>
      </w:pPr>
      <w:r>
        <w:rPr>
          <w:sz w:val="20"/>
        </w:rPr>
        <w:t xml:space="preserve">3) Методические </w:t>
      </w:r>
      <w:hyperlink w:history="0" w:anchor="P1031" w:tooltip="МЕТОДИЧЕСКИЕ РЕКОМЕНДАЦИИ">
        <w:r>
          <w:rPr>
            <w:sz w:val="20"/>
            <w:color w:val="0000ff"/>
          </w:rPr>
          <w:t xml:space="preserve">рекомендации</w:t>
        </w:r>
      </w:hyperlink>
      <w:r>
        <w:rPr>
          <w:sz w:val="20"/>
        </w:rPr>
        <w:t xml:space="preserve"> по проведению публичных консультаций (прилагаются).</w:t>
      </w:r>
    </w:p>
    <w:p>
      <w:pPr>
        <w:pStyle w:val="0"/>
        <w:spacing w:before="200" w:lineRule="auto"/>
        <w:ind w:firstLine="540"/>
        <w:jc w:val="both"/>
      </w:pPr>
      <w:r>
        <w:rPr>
          <w:sz w:val="20"/>
        </w:rPr>
        <w:t xml:space="preserve">4. Признать утратившим силу </w:t>
      </w:r>
      <w:hyperlink w:history="0" r:id="rId19" w:tooltip="Приказ Министерства экономики Свердловской области от 20.02.2017 N 18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ких рекомендаций по проведению публичных консультаций&quot; ------------ Утратил силу или отменен {КонсультантПлюс}">
        <w:r>
          <w:rPr>
            <w:sz w:val="20"/>
            <w:color w:val="0000ff"/>
          </w:rPr>
          <w:t xml:space="preserve">Приказ</w:t>
        </w:r>
      </w:hyperlink>
      <w:r>
        <w:rPr>
          <w:sz w:val="20"/>
        </w:rPr>
        <w:t xml:space="preserve"> Министерства экономики Свердловской области от 20.02.2017 N 18 "Об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методических рекомендаций по проведению публичных консультаций".</w:t>
      </w:r>
    </w:p>
    <w:p>
      <w:pPr>
        <w:pStyle w:val="0"/>
        <w:spacing w:before="200" w:lineRule="auto"/>
        <w:ind w:firstLine="540"/>
        <w:jc w:val="both"/>
      </w:pPr>
      <w:r>
        <w:rPr>
          <w:sz w:val="20"/>
        </w:rPr>
        <w:t xml:space="preserve">5. Отделу совершенствования регуляторной политики Министерства экономики и территориального развития Свердловской области обеспечить ведение реестра проектов нормативных правовых актов Свердловской области, по которым проведена оценка регулирующего воздействия, и реестра нормативных правовых актов, по которым проведена экспертиза, по установленной форме (</w:t>
      </w:r>
      <w:hyperlink w:history="0" w:anchor="P910" w:tooltip="РЕЕСТР">
        <w:r>
          <w:rPr>
            <w:sz w:val="20"/>
            <w:color w:val="0000ff"/>
          </w:rPr>
          <w:t xml:space="preserve">приложения N 4</w:t>
        </w:r>
      </w:hyperlink>
      <w:r>
        <w:rPr>
          <w:sz w:val="20"/>
        </w:rPr>
        <w:t xml:space="preserve"> и </w:t>
      </w:r>
      <w:hyperlink w:history="0" w:anchor="P967" w:tooltip="РЕЕСТР">
        <w:r>
          <w:rPr>
            <w:sz w:val="20"/>
            <w:color w:val="0000ff"/>
          </w:rPr>
          <w:t xml:space="preserve">N 5</w:t>
        </w:r>
      </w:hyperlink>
      <w:r>
        <w:rPr>
          <w:sz w:val="20"/>
        </w:rPr>
        <w:t xml:space="preserve">).</w:t>
      </w:r>
    </w:p>
    <w:p>
      <w:pPr>
        <w:pStyle w:val="0"/>
        <w:jc w:val="both"/>
      </w:pPr>
      <w:r>
        <w:rPr>
          <w:sz w:val="20"/>
        </w:rPr>
        <w:t xml:space="preserve">(п. 5 в ред. </w:t>
      </w:r>
      <w:hyperlink w:history="0" r:id="rId20"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Приказа</w:t>
        </w:r>
      </w:hyperlink>
      <w:r>
        <w:rPr>
          <w:sz w:val="20"/>
        </w:rPr>
        <w:t xml:space="preserve"> Минэкономики и терразвития СО от 06.09.2022 N 90)</w:t>
      </w:r>
    </w:p>
    <w:p>
      <w:pPr>
        <w:pStyle w:val="0"/>
        <w:spacing w:before="200" w:lineRule="auto"/>
        <w:ind w:firstLine="540"/>
        <w:jc w:val="both"/>
      </w:pPr>
      <w:r>
        <w:rPr>
          <w:sz w:val="20"/>
        </w:rPr>
        <w:t xml:space="preserve">6. Контроль за исполнением настоящего Приказа возложить на Заместителя Министра экономики и территориального развития Свердловской области Т.В. Гладкову.</w:t>
      </w:r>
    </w:p>
    <w:p>
      <w:pPr>
        <w:pStyle w:val="0"/>
        <w:jc w:val="both"/>
      </w:pPr>
      <w:r>
        <w:rPr>
          <w:sz w:val="20"/>
        </w:rPr>
        <w:t xml:space="preserve">(п. 6 в ред. </w:t>
      </w:r>
      <w:hyperlink w:history="0" r:id="rId21"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7. Настоящий Приказ опубликовать на "Официальном интернет-портале правовой информации Свердловской области" (</w:t>
      </w:r>
      <w:hyperlink w:history="0" r:id="rId22">
        <w:r>
          <w:rPr>
            <w:sz w:val="20"/>
            <w:color w:val="0000ff"/>
          </w:rPr>
          <w:t xml:space="preserve">www.pravo.gov66.ru</w:t>
        </w:r>
      </w:hyperlink>
      <w:r>
        <w:rPr>
          <w:sz w:val="20"/>
        </w:rPr>
        <w:t xml:space="preserve">).</w:t>
      </w:r>
    </w:p>
    <w:p>
      <w:pPr>
        <w:pStyle w:val="0"/>
        <w:jc w:val="both"/>
      </w:pPr>
      <w:r>
        <w:rPr>
          <w:sz w:val="20"/>
        </w:rPr>
      </w:r>
    </w:p>
    <w:p>
      <w:pPr>
        <w:pStyle w:val="0"/>
        <w:jc w:val="right"/>
      </w:pPr>
      <w:r>
        <w:rPr>
          <w:sz w:val="20"/>
        </w:rPr>
        <w:t xml:space="preserve">Министр</w:t>
      </w:r>
    </w:p>
    <w:p>
      <w:pPr>
        <w:pStyle w:val="0"/>
        <w:jc w:val="right"/>
      </w:pPr>
      <w:r>
        <w:rPr>
          <w:sz w:val="20"/>
        </w:rPr>
        <w:t xml:space="preserve">А.А.КОВАЛЬЧИК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pStyle w:val="0"/>
        <w:jc w:val="both"/>
      </w:pPr>
      <w:r>
        <w:rPr>
          <w:sz w:val="20"/>
        </w:rPr>
      </w:r>
    </w:p>
    <w:p>
      <w:pPr>
        <w:pStyle w:val="0"/>
        <w:jc w:val="both"/>
      </w:pPr>
      <w:r>
        <w:rPr>
          <w:sz w:val="20"/>
        </w:rPr>
        <w:t xml:space="preserve">Форма</w:t>
      </w:r>
    </w:p>
    <w:p>
      <w:pPr>
        <w:pStyle w:val="0"/>
        <w:jc w:val="both"/>
      </w:pPr>
      <w:r>
        <w:rPr>
          <w:sz w:val="20"/>
        </w:rPr>
      </w:r>
    </w:p>
    <w:p>
      <w:pPr>
        <w:pStyle w:val="0"/>
        <w:jc w:val="center"/>
      </w:pPr>
      <w:r>
        <w:rPr>
          <w:sz w:val="20"/>
        </w:rPr>
        <w:t xml:space="preserve">УВЕДОМЛЕНИЕ</w:t>
      </w:r>
    </w:p>
    <w:p>
      <w:pPr>
        <w:pStyle w:val="0"/>
        <w:jc w:val="center"/>
      </w:pPr>
      <w:r>
        <w:rPr>
          <w:sz w:val="20"/>
        </w:rPr>
        <w:t xml:space="preserve">О ПРОВЕДЕНИИ ПУБЛИЧНЫХ КОНСУЛЬТАЦИЙ ДЛЯ ПРОЕКТОВ</w:t>
      </w:r>
    </w:p>
    <w:p>
      <w:pPr>
        <w:pStyle w:val="0"/>
        <w:jc w:val="center"/>
      </w:pPr>
      <w:r>
        <w:rPr>
          <w:sz w:val="20"/>
        </w:rPr>
        <w:t xml:space="preserve">НОРМАТИВНЫХ ПРАВОВЫХ АКТОВ НИЗКОЙ СТЕПЕНИ</w:t>
      </w:r>
    </w:p>
    <w:p>
      <w:pPr>
        <w:pStyle w:val="0"/>
        <w:jc w:val="center"/>
      </w:pPr>
      <w:r>
        <w:rPr>
          <w:sz w:val="20"/>
        </w:rPr>
        <w:t xml:space="preserve">РЕГУЛИРУЮЩЕГО ВОЗДЕЙСТВИЯ</w:t>
      </w:r>
    </w:p>
    <w:p>
      <w:pPr>
        <w:pStyle w:val="0"/>
        <w:jc w:val="both"/>
      </w:pPr>
      <w:r>
        <w:rPr>
          <w:sz w:val="20"/>
        </w:rPr>
      </w:r>
    </w:p>
    <w:p>
      <w:pPr>
        <w:pStyle w:val="0"/>
        <w:ind w:firstLine="540"/>
        <w:jc w:val="both"/>
      </w:pPr>
      <w:r>
        <w:rPr>
          <w:sz w:val="20"/>
        </w:rPr>
        <w:t xml:space="preserve">Утратило силу. - </w:t>
      </w:r>
      <w:hyperlink w:history="0" r:id="rId23" w:tooltip="Приказ Минэкономики и терразвития СО от 28.11.2019 N 78 (ред. от 15.02.2023) &quot;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03.2018 N 17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 {КонсультантПлюс}">
        <w:r>
          <w:rPr>
            <w:sz w:val="20"/>
            <w:color w:val="0000ff"/>
          </w:rPr>
          <w:t xml:space="preserve">Приказ</w:t>
        </w:r>
      </w:hyperlink>
      <w:r>
        <w:rPr>
          <w:sz w:val="20"/>
        </w:rPr>
        <w:t xml:space="preserve"> Минэкономики и терразвития СО от 28.11.2019 N 78.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pStyle w:val="0"/>
        <w:jc w:val="both"/>
      </w:pPr>
      <w:r>
        <w:rPr>
          <w:sz w:val="20"/>
        </w:rPr>
      </w:r>
    </w:p>
    <w:p>
      <w:pPr>
        <w:pStyle w:val="0"/>
        <w:jc w:val="both"/>
      </w:pPr>
      <w:r>
        <w:rPr>
          <w:sz w:val="20"/>
        </w:rPr>
        <w:t xml:space="preserve">Форма</w:t>
      </w:r>
    </w:p>
    <w:p>
      <w:pPr>
        <w:pStyle w:val="0"/>
        <w:jc w:val="both"/>
      </w:pPr>
      <w:r>
        <w:rPr>
          <w:sz w:val="20"/>
        </w:rPr>
      </w:r>
    </w:p>
    <w:p>
      <w:pPr>
        <w:pStyle w:val="0"/>
        <w:jc w:val="center"/>
      </w:pPr>
      <w:r>
        <w:rPr>
          <w:sz w:val="20"/>
        </w:rPr>
        <w:t xml:space="preserve">УВЕДОМЛЕНИЕ</w:t>
      </w:r>
    </w:p>
    <w:p>
      <w:pPr>
        <w:pStyle w:val="0"/>
        <w:jc w:val="center"/>
      </w:pPr>
      <w:r>
        <w:rPr>
          <w:sz w:val="20"/>
        </w:rPr>
        <w:t xml:space="preserve">О ПРОВЕДЕНИИ ПУБЛИЧНЫХ КОНСУЛЬТАЦИЙ ДЛЯ ПРОЕКТОВ</w:t>
      </w:r>
    </w:p>
    <w:p>
      <w:pPr>
        <w:pStyle w:val="0"/>
        <w:jc w:val="center"/>
      </w:pPr>
      <w:r>
        <w:rPr>
          <w:sz w:val="20"/>
        </w:rPr>
        <w:t xml:space="preserve">НОРМАТИВНЫХ ПРАВОВЫХ АКТОВ СРЕДНЕЙ И ВЫСОКОЙ СТЕПЕНИ</w:t>
      </w:r>
    </w:p>
    <w:p>
      <w:pPr>
        <w:pStyle w:val="0"/>
        <w:jc w:val="center"/>
      </w:pPr>
      <w:r>
        <w:rPr>
          <w:sz w:val="20"/>
        </w:rPr>
        <w:t xml:space="preserve">РЕГУЛИРУЮЩЕГО ВОЗДЕЙСТВИЯ</w:t>
      </w:r>
    </w:p>
    <w:p>
      <w:pPr>
        <w:pStyle w:val="0"/>
        <w:jc w:val="both"/>
      </w:pPr>
      <w:r>
        <w:rPr>
          <w:sz w:val="20"/>
        </w:rPr>
      </w:r>
    </w:p>
    <w:p>
      <w:pPr>
        <w:pStyle w:val="0"/>
        <w:ind w:firstLine="540"/>
        <w:jc w:val="both"/>
      </w:pPr>
      <w:r>
        <w:rPr>
          <w:sz w:val="20"/>
        </w:rPr>
        <w:t xml:space="preserve">Утратило силу. - </w:t>
      </w:r>
      <w:hyperlink w:history="0" r:id="rId24" w:tooltip="Приказ Минэкономики и терразвития СО от 28.11.2019 N 78 (ред. от 15.02.2023) &quot;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03.2018 N 17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 {КонсультантПлюс}">
        <w:r>
          <w:rPr>
            <w:sz w:val="20"/>
            <w:color w:val="0000ff"/>
          </w:rPr>
          <w:t xml:space="preserve">Приказ</w:t>
        </w:r>
      </w:hyperlink>
      <w:r>
        <w:rPr>
          <w:sz w:val="20"/>
        </w:rPr>
        <w:t xml:space="preserve"> Минэкономики и терразвития СО от 28.11.2019 N 78.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pStyle w:val="0"/>
        <w:jc w:val="both"/>
      </w:pPr>
      <w:r>
        <w:rPr>
          <w:sz w:val="20"/>
        </w:rPr>
      </w:r>
    </w:p>
    <w:p>
      <w:pPr>
        <w:pStyle w:val="0"/>
        <w:jc w:val="both"/>
      </w:pPr>
      <w:r>
        <w:rPr>
          <w:sz w:val="20"/>
        </w:rPr>
        <w:t xml:space="preserve">Форма</w:t>
      </w:r>
    </w:p>
    <w:p>
      <w:pPr>
        <w:pStyle w:val="0"/>
        <w:jc w:val="both"/>
      </w:pPr>
      <w:r>
        <w:rPr>
          <w:sz w:val="20"/>
        </w:rPr>
      </w:r>
    </w:p>
    <w:p>
      <w:pPr>
        <w:pStyle w:val="0"/>
        <w:jc w:val="center"/>
      </w:pPr>
      <w:r>
        <w:rPr>
          <w:sz w:val="20"/>
        </w:rPr>
        <w:t xml:space="preserve">ЗАКЛЮЧЕНИЕ</w:t>
      </w:r>
    </w:p>
    <w:p>
      <w:pPr>
        <w:pStyle w:val="0"/>
        <w:jc w:val="center"/>
      </w:pPr>
      <w:r>
        <w:rPr>
          <w:sz w:val="20"/>
        </w:rPr>
        <w:t xml:space="preserve">О ПРОВЕДЕНИИ ПУБЛИЧНЫХ КОНСУЛЬТАЦИЙ ДЛЯ ПРОЕКТОВ НОРМАТИВНЫХ</w:t>
      </w:r>
    </w:p>
    <w:p>
      <w:pPr>
        <w:pStyle w:val="0"/>
        <w:jc w:val="center"/>
      </w:pPr>
      <w:r>
        <w:rPr>
          <w:sz w:val="20"/>
        </w:rPr>
        <w:t xml:space="preserve">ПРАВОВЫХ АКТОВ НИЗКОЙ СТЕПЕНИ РЕГУЛИРУЮЩЕГО ВОЗДЕЙСТВИЯ</w:t>
      </w:r>
    </w:p>
    <w:p>
      <w:pPr>
        <w:pStyle w:val="0"/>
        <w:jc w:val="both"/>
      </w:pPr>
      <w:r>
        <w:rPr>
          <w:sz w:val="20"/>
        </w:rPr>
      </w:r>
    </w:p>
    <w:p>
      <w:pPr>
        <w:pStyle w:val="0"/>
        <w:ind w:firstLine="540"/>
        <w:jc w:val="both"/>
      </w:pPr>
      <w:r>
        <w:rPr>
          <w:sz w:val="20"/>
        </w:rPr>
        <w:t xml:space="preserve">Утратило силу. - </w:t>
      </w:r>
      <w:hyperlink w:history="0" r:id="rId25" w:tooltip="Приказ Минэкономики и терразвития СО от 28.11.2019 N 78 (ред. от 15.02.2023) &quot;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03.2018 N 17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 {КонсультантПлюс}">
        <w:r>
          <w:rPr>
            <w:sz w:val="20"/>
            <w:color w:val="0000ff"/>
          </w:rPr>
          <w:t xml:space="preserve">Приказ</w:t>
        </w:r>
      </w:hyperlink>
      <w:r>
        <w:rPr>
          <w:sz w:val="20"/>
        </w:rPr>
        <w:t xml:space="preserve"> Минэкономики и терразвития СО от 28.11.2019 N 78.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pStyle w:val="0"/>
        <w:jc w:val="both"/>
      </w:pPr>
      <w:r>
        <w:rPr>
          <w:sz w:val="20"/>
        </w:rPr>
      </w:r>
    </w:p>
    <w:p>
      <w:pPr>
        <w:pStyle w:val="0"/>
        <w:jc w:val="both"/>
      </w:pPr>
      <w:r>
        <w:rPr>
          <w:sz w:val="20"/>
        </w:rPr>
        <w:t xml:space="preserve">Форма</w:t>
      </w:r>
    </w:p>
    <w:p>
      <w:pPr>
        <w:pStyle w:val="0"/>
        <w:jc w:val="both"/>
      </w:pPr>
      <w:r>
        <w:rPr>
          <w:sz w:val="20"/>
        </w:rPr>
      </w:r>
    </w:p>
    <w:p>
      <w:pPr>
        <w:pStyle w:val="0"/>
        <w:jc w:val="center"/>
      </w:pPr>
      <w:r>
        <w:rPr>
          <w:sz w:val="20"/>
        </w:rPr>
        <w:t xml:space="preserve">ЗАКЛЮЧЕНИЕ</w:t>
      </w:r>
    </w:p>
    <w:p>
      <w:pPr>
        <w:pStyle w:val="0"/>
        <w:jc w:val="center"/>
      </w:pPr>
      <w:r>
        <w:rPr>
          <w:sz w:val="20"/>
        </w:rPr>
        <w:t xml:space="preserve">О ПРОВЕДЕНИИ ПУБЛИЧНЫХ КОНСУЛЬТАЦИЙ ДЛЯ ПРОЕКТОВ</w:t>
      </w:r>
    </w:p>
    <w:p>
      <w:pPr>
        <w:pStyle w:val="0"/>
        <w:jc w:val="center"/>
      </w:pPr>
      <w:r>
        <w:rPr>
          <w:sz w:val="20"/>
        </w:rPr>
        <w:t xml:space="preserve">НОРМАТИВНЫХ ПРАВОВЫХ АКТОВ СРЕДНЕЙ И</w:t>
      </w:r>
    </w:p>
    <w:p>
      <w:pPr>
        <w:pStyle w:val="0"/>
        <w:jc w:val="center"/>
      </w:pPr>
      <w:r>
        <w:rPr>
          <w:sz w:val="20"/>
        </w:rPr>
        <w:t xml:space="preserve">ВЫСОКОЙ СТЕПЕНИ РЕГУЛИРУЮЩЕГО ВОЗДЕЙСТВИЯ</w:t>
      </w:r>
    </w:p>
    <w:p>
      <w:pPr>
        <w:pStyle w:val="0"/>
        <w:jc w:val="both"/>
      </w:pPr>
      <w:r>
        <w:rPr>
          <w:sz w:val="20"/>
        </w:rPr>
      </w:r>
    </w:p>
    <w:p>
      <w:pPr>
        <w:pStyle w:val="0"/>
        <w:ind w:firstLine="540"/>
        <w:jc w:val="both"/>
      </w:pPr>
      <w:r>
        <w:rPr>
          <w:sz w:val="20"/>
        </w:rPr>
        <w:t xml:space="preserve">Утратило силу. - </w:t>
      </w:r>
      <w:hyperlink w:history="0" r:id="rId26" w:tooltip="Приказ Минэкономики и терразвития СО от 28.11.2019 N 78 (ред. от 15.02.2023) &quot;Об утверждении типовых форм документов для проведения оценки регулирующего воздействия и внесении отдельных изменений в Приказ Министерства экономики и территориального развития Свердловской области от 29.03.2018 N 17 &quot;Об утверждении типовых форм уведомления о проведении публичных консультаций, заключения об оценке регулирующего воздействия и методических рекомендаций по их составлению, методики оценки стандартных издержек субъект {КонсультантПлюс}">
        <w:r>
          <w:rPr>
            <w:sz w:val="20"/>
            <w:color w:val="0000ff"/>
          </w:rPr>
          <w:t xml:space="preserve">Приказ</w:t>
        </w:r>
      </w:hyperlink>
      <w:r>
        <w:rPr>
          <w:sz w:val="20"/>
        </w:rPr>
        <w:t xml:space="preserve"> Минэкономики и терразвития СО от 28.11.2019 N 78.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Приказом</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pStyle w:val="0"/>
        <w:jc w:val="right"/>
      </w:pPr>
      <w:r>
        <w:rPr>
          <w:sz w:val="20"/>
        </w:rPr>
        <w:t xml:space="preserve">"Об утверждении</w:t>
      </w:r>
    </w:p>
    <w:p>
      <w:pPr>
        <w:pStyle w:val="0"/>
        <w:jc w:val="right"/>
      </w:pPr>
      <w:r>
        <w:rPr>
          <w:sz w:val="20"/>
        </w:rPr>
        <w:t xml:space="preserve">методических рекомендаций</w:t>
      </w:r>
    </w:p>
    <w:p>
      <w:pPr>
        <w:pStyle w:val="0"/>
        <w:jc w:val="right"/>
      </w:pPr>
      <w:r>
        <w:rPr>
          <w:sz w:val="20"/>
        </w:rPr>
        <w:t xml:space="preserve">по составлению уведомления о проведении</w:t>
      </w:r>
    </w:p>
    <w:p>
      <w:pPr>
        <w:pStyle w:val="0"/>
        <w:jc w:val="right"/>
      </w:pPr>
      <w:r>
        <w:rPr>
          <w:sz w:val="20"/>
        </w:rPr>
        <w:t xml:space="preserve">публичных консультаций и заключения</w:t>
      </w:r>
    </w:p>
    <w:p>
      <w:pPr>
        <w:pStyle w:val="0"/>
        <w:jc w:val="right"/>
      </w:pPr>
      <w:r>
        <w:rPr>
          <w:sz w:val="20"/>
        </w:rPr>
        <w:t xml:space="preserve">об оценке регулирующего воздействия,</w:t>
      </w:r>
    </w:p>
    <w:p>
      <w:pPr>
        <w:pStyle w:val="0"/>
        <w:jc w:val="right"/>
      </w:pPr>
      <w:r>
        <w:rPr>
          <w:sz w:val="20"/>
        </w:rPr>
        <w:t xml:space="preserve">методики оценки стандартных издержек</w:t>
      </w:r>
    </w:p>
    <w:p>
      <w:pPr>
        <w:pStyle w:val="0"/>
        <w:jc w:val="right"/>
      </w:pPr>
      <w:r>
        <w:rPr>
          <w:sz w:val="20"/>
        </w:rPr>
        <w:t xml:space="preserve">субъектов предпринимательской и</w:t>
      </w:r>
    </w:p>
    <w:p>
      <w:pPr>
        <w:pStyle w:val="0"/>
        <w:jc w:val="right"/>
      </w:pPr>
      <w:r>
        <w:rPr>
          <w:sz w:val="20"/>
        </w:rPr>
        <w:t xml:space="preserve">иной экономической деятельности,</w:t>
      </w:r>
    </w:p>
    <w:p>
      <w:pPr>
        <w:pStyle w:val="0"/>
        <w:jc w:val="right"/>
      </w:pPr>
      <w:r>
        <w:rPr>
          <w:sz w:val="20"/>
        </w:rPr>
        <w:t xml:space="preserve">возникающих в связи с исполнением</w:t>
      </w:r>
    </w:p>
    <w:p>
      <w:pPr>
        <w:pStyle w:val="0"/>
        <w:jc w:val="right"/>
      </w:pPr>
      <w:r>
        <w:rPr>
          <w:sz w:val="20"/>
        </w:rPr>
        <w:t xml:space="preserve">требований регулирования,</w:t>
      </w:r>
    </w:p>
    <w:p>
      <w:pPr>
        <w:pStyle w:val="0"/>
        <w:jc w:val="right"/>
      </w:pPr>
      <w:r>
        <w:rPr>
          <w:sz w:val="20"/>
        </w:rPr>
        <w:t xml:space="preserve">а также методических рекомендаций</w:t>
      </w:r>
    </w:p>
    <w:p>
      <w:pPr>
        <w:pStyle w:val="0"/>
        <w:jc w:val="right"/>
      </w:pPr>
      <w:r>
        <w:rPr>
          <w:sz w:val="20"/>
        </w:rPr>
        <w:t xml:space="preserve">по проведению публичных консультаций"</w:t>
      </w:r>
    </w:p>
    <w:p>
      <w:pPr>
        <w:pStyle w:val="0"/>
        <w:jc w:val="both"/>
      </w:pPr>
      <w:r>
        <w:rPr>
          <w:sz w:val="20"/>
        </w:rPr>
      </w:r>
    </w:p>
    <w:bookmarkStart w:id="140" w:name="P140"/>
    <w:bookmarkEnd w:id="140"/>
    <w:p>
      <w:pPr>
        <w:pStyle w:val="2"/>
        <w:jc w:val="center"/>
      </w:pPr>
      <w:r>
        <w:rPr>
          <w:sz w:val="20"/>
        </w:rPr>
        <w:t xml:space="preserve">МЕТОДИЧЕСКИЕ РЕКОМЕНДАЦИИ</w:t>
      </w:r>
    </w:p>
    <w:p>
      <w:pPr>
        <w:pStyle w:val="2"/>
        <w:jc w:val="center"/>
      </w:pPr>
      <w:r>
        <w:rPr>
          <w:sz w:val="20"/>
        </w:rPr>
        <w:t xml:space="preserve">ПО СОСТАВЛЕНИЮ УВЕДОМЛЕНИЯ О ПРОВЕДЕНИИ ПУБЛИЧНЫХ</w:t>
      </w:r>
    </w:p>
    <w:p>
      <w:pPr>
        <w:pStyle w:val="2"/>
        <w:jc w:val="center"/>
      </w:pPr>
      <w:r>
        <w:rPr>
          <w:sz w:val="20"/>
        </w:rPr>
        <w:t xml:space="preserve">КОНСУЛЬТАЦИЙ И ЗАКЛЮЧЕНИЯ О ПРОВЕДЕНИИ ОЦЕНКИ</w:t>
      </w:r>
    </w:p>
    <w:p>
      <w:pPr>
        <w:pStyle w:val="2"/>
        <w:jc w:val="center"/>
      </w:pPr>
      <w:r>
        <w:rPr>
          <w:sz w:val="20"/>
        </w:rPr>
        <w:t xml:space="preserve">РЕГУЛИРУЮЩЕГО ВОЗДЕЙСТВИЯ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Минэкономики и терразвития СО от 06.09.2022 </w:t>
            </w:r>
            <w:hyperlink w:history="0" r:id="rId27"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N 90</w:t>
              </w:r>
            </w:hyperlink>
            <w:r>
              <w:rPr>
                <w:sz w:val="20"/>
                <w:color w:val="392c69"/>
              </w:rPr>
              <w:t xml:space="preserve">,</w:t>
            </w:r>
          </w:p>
          <w:p>
            <w:pPr>
              <w:pStyle w:val="0"/>
              <w:jc w:val="center"/>
            </w:pPr>
            <w:r>
              <w:rPr>
                <w:sz w:val="20"/>
                <w:color w:val="392c69"/>
              </w:rPr>
              <w:t xml:space="preserve">от 28.10.2024 </w:t>
            </w:r>
            <w:hyperlink w:history="0" r:id="rId28"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N 14-НПА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Настоящие методические рекомендации разработаны в соответствии с </w:t>
      </w:r>
      <w:hyperlink w:history="0" r:id="rId29"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(далее - Закон Свердловской области от 14 июля 2014 года N 74-ОЗ), </w:t>
      </w:r>
      <w:hyperlink w:history="0" r:id="rId30"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Постановлением</w:t>
        </w:r>
      </w:hyperlink>
      <w:r>
        <w:rPr>
          <w:sz w:val="20"/>
        </w:rPr>
        <w:t xml:space="preserve"> Правительства Свердловской области от 26.11.2014 N 1051-ПП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в целях совершенствования методологического обеспечения проведения оценки регулирующего воздействия (далее - ОРВ) проектов нормативных правовых актов Свердловской области (далее - проекты актов), а также обеспечения структурного единства документов, подготавливаемых субъектами законодательной инициативы, органами государственной власти Свердловской области, к компетенции которых относится принятие нормативных правовых актов Свердловской области, областными и территориальными исполнительными органами государственной власти Свердловской области, к компетенции которых относится принятие нормативных правовых актов Свердловской области (далее - разработчики), а также исполнительными органами государственной власти Свердловской области, уполномоченными в соответствующей сфере деятельности (далее - профильный орган) в рамках проведения ОРВ.</w:t>
      </w:r>
    </w:p>
    <w:p>
      <w:pPr>
        <w:pStyle w:val="0"/>
        <w:jc w:val="both"/>
      </w:pPr>
      <w:r>
        <w:rPr>
          <w:sz w:val="20"/>
        </w:rPr>
        <w:t xml:space="preserve">(в ред. </w:t>
      </w:r>
      <w:hyperlink w:history="0" r:id="rId31"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2. Настоящие методические рекомендации предназначены для применения профильными органами при проведении ОРВ проектов актов в части подготовки и размещения профильными органами уведомлений о подготовке проекта акта, уведомлений о проведении публичных консультаций, сбора предложений в рамках публичных консультаций, формирования заключения об ОРВ и сводки предложений.</w:t>
      </w:r>
    </w:p>
    <w:p>
      <w:pPr>
        <w:pStyle w:val="0"/>
        <w:spacing w:before="200" w:lineRule="auto"/>
        <w:ind w:firstLine="540"/>
        <w:jc w:val="both"/>
      </w:pPr>
      <w:r>
        <w:rPr>
          <w:sz w:val="20"/>
        </w:rPr>
        <w:t xml:space="preserve">3. Оценка регулирующего воздействия проектов актов проводится в целях, установленных </w:t>
      </w:r>
      <w:hyperlink w:history="0" r:id="rId32"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статьей 2</w:t>
        </w:r>
      </w:hyperlink>
      <w:r>
        <w:rPr>
          <w:sz w:val="20"/>
        </w:rPr>
        <w:t xml:space="preserve"> Закона Свердловской области от 14 июля 2014 года N 74-ОЗ.</w:t>
      </w:r>
    </w:p>
    <w:p>
      <w:pPr>
        <w:pStyle w:val="0"/>
        <w:spacing w:before="200" w:lineRule="auto"/>
        <w:ind w:firstLine="540"/>
        <w:jc w:val="both"/>
      </w:pPr>
      <w:r>
        <w:rPr>
          <w:sz w:val="20"/>
        </w:rPr>
        <w:t xml:space="preserve">4. Задачами ОРВ являются:</w:t>
      </w:r>
    </w:p>
    <w:p>
      <w:pPr>
        <w:pStyle w:val="0"/>
        <w:spacing w:before="200" w:lineRule="auto"/>
        <w:ind w:firstLine="540"/>
        <w:jc w:val="both"/>
      </w:pPr>
      <w:r>
        <w:rPr>
          <w:sz w:val="20"/>
        </w:rPr>
        <w:t xml:space="preserve">1) обоснование предлагаемого регулирования среди различных способов решения проблемы на основе сопоставления положительных и отрицательных последствий для участников отношений;</w:t>
      </w:r>
    </w:p>
    <w:p>
      <w:pPr>
        <w:pStyle w:val="0"/>
        <w:spacing w:before="200" w:lineRule="auto"/>
        <w:ind w:firstLine="540"/>
        <w:jc w:val="both"/>
      </w:pPr>
      <w:r>
        <w:rPr>
          <w:sz w:val="20"/>
        </w:rPr>
        <w:t xml:space="preserve">2) осуществление предварительного прогноза последствий и эффектов предлагаемого регулирования;</w:t>
      </w:r>
    </w:p>
    <w:p>
      <w:pPr>
        <w:pStyle w:val="0"/>
        <w:spacing w:before="200" w:lineRule="auto"/>
        <w:ind w:firstLine="540"/>
        <w:jc w:val="both"/>
      </w:pPr>
      <w:r>
        <w:rPr>
          <w:sz w:val="20"/>
        </w:rPr>
        <w:t xml:space="preserve">3) обеспечение обратной связи с участниками отношений на стадии подготовки проектов актов;</w:t>
      </w:r>
    </w:p>
    <w:p>
      <w:pPr>
        <w:pStyle w:val="0"/>
        <w:spacing w:before="200" w:lineRule="auto"/>
        <w:ind w:firstLine="540"/>
        <w:jc w:val="both"/>
      </w:pPr>
      <w:r>
        <w:rPr>
          <w:sz w:val="20"/>
        </w:rPr>
        <w:t xml:space="preserve">4) оценка возможных рисков в случае принятия проекта акта.</w:t>
      </w:r>
    </w:p>
    <w:p>
      <w:pPr>
        <w:pStyle w:val="0"/>
        <w:spacing w:before="200" w:lineRule="auto"/>
        <w:ind w:firstLine="540"/>
        <w:jc w:val="both"/>
      </w:pPr>
      <w:r>
        <w:rPr>
          <w:sz w:val="20"/>
        </w:rPr>
        <w:t xml:space="preserve">5. ОРВ основывается преимущественно на данных, опубликованных в открытых источниках, которые могут быть верифицированы (подтверждены) другими заинтересованными лицами. В уведомлении о проведении публичных консультаций и заключении об ОРВ разработчиком указываются источники использованных данных.</w:t>
      </w:r>
    </w:p>
    <w:p>
      <w:pPr>
        <w:pStyle w:val="0"/>
        <w:spacing w:before="200" w:lineRule="auto"/>
        <w:ind w:firstLine="540"/>
        <w:jc w:val="both"/>
      </w:pPr>
      <w:r>
        <w:rPr>
          <w:sz w:val="20"/>
        </w:rPr>
        <w:t xml:space="preserve">6. Разработчиком проводится как качественная, так и количественная оценка издержек и выгод участников отношений, на регулирование которых направлен проект акта. Информация о видах воздействия, возникающих в связи с введением предлагаемого регулирования, которые не могут быть оценены количественно, также приводится в уведомлении о проведении публичных консультаций и заключении об ОРВ.</w:t>
      </w:r>
    </w:p>
    <w:p>
      <w:pPr>
        <w:pStyle w:val="0"/>
        <w:spacing w:before="200" w:lineRule="auto"/>
        <w:ind w:firstLine="540"/>
        <w:jc w:val="both"/>
      </w:pPr>
      <w:r>
        <w:rPr>
          <w:sz w:val="20"/>
        </w:rPr>
        <w:t xml:space="preserve">7. Выбор методов анализа и представления полученных результатов осуществляется профильным органом самостоятельно таким образом, чтобы обеспечить для лиц, участвующих в принятии решения о разработке и утверждении проекта акта, максимально возможную и объективную информацию о проблеме, способах ее решения, положительных и отрицательных последствиях принятия проекта акта, обосновать предпочтительность предлагаемого регулирования по сравнению с иными возможными способами решения проблемы.</w:t>
      </w:r>
    </w:p>
    <w:p>
      <w:pPr>
        <w:pStyle w:val="0"/>
        <w:spacing w:before="200" w:lineRule="auto"/>
        <w:ind w:firstLine="540"/>
        <w:jc w:val="both"/>
      </w:pPr>
      <w:r>
        <w:rPr>
          <w:sz w:val="20"/>
        </w:rPr>
        <w:t xml:space="preserve">8. В целях обеспечения объективности ОРВ и повышения качества принятых решений профильный орган должен принимать необходимые меры для привлечения к публичному обсуждению проекта акта всех заинтересованных групп участников отношений.</w:t>
      </w:r>
    </w:p>
    <w:p>
      <w:pPr>
        <w:pStyle w:val="0"/>
        <w:jc w:val="both"/>
      </w:pPr>
      <w:r>
        <w:rPr>
          <w:sz w:val="20"/>
        </w:rPr>
      </w:r>
    </w:p>
    <w:p>
      <w:pPr>
        <w:pStyle w:val="2"/>
        <w:outlineLvl w:val="1"/>
        <w:jc w:val="center"/>
      </w:pPr>
      <w:r>
        <w:rPr>
          <w:sz w:val="20"/>
        </w:rPr>
        <w:t xml:space="preserve">Глава 2. УВЕДОМЛЕНИЕ О ПРОВЕДЕНИИ ПУБЛИЧНЫХ КОНСУЛЬТАЦИЙ.</w:t>
      </w:r>
    </w:p>
    <w:p>
      <w:pPr>
        <w:pStyle w:val="2"/>
        <w:jc w:val="center"/>
      </w:pPr>
      <w:r>
        <w:rPr>
          <w:sz w:val="20"/>
        </w:rPr>
        <w:t xml:space="preserve">РЕКОМЕНДАЦИИ ПО СОСТАВЛЕНИЮ</w:t>
      </w:r>
    </w:p>
    <w:p>
      <w:pPr>
        <w:pStyle w:val="0"/>
        <w:jc w:val="both"/>
      </w:pPr>
      <w:r>
        <w:rPr>
          <w:sz w:val="20"/>
        </w:rPr>
      </w:r>
    </w:p>
    <w:p>
      <w:pPr>
        <w:pStyle w:val="0"/>
        <w:ind w:firstLine="540"/>
        <w:jc w:val="both"/>
      </w:pPr>
      <w:r>
        <w:rPr>
          <w:sz w:val="20"/>
        </w:rPr>
        <w:t xml:space="preserve">9. В соответствии с </w:t>
      </w:r>
      <w:hyperlink w:history="0" r:id="rId33"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пунктом 6</w:t>
        </w:r>
      </w:hyperlink>
      <w:r>
        <w:rPr>
          <w:sz w:val="20"/>
        </w:rPr>
        <w:t xml:space="preserve"> Порядка проведения оценки регулирующего воздействия проектов нормативных правовых актов Свердловской области, утвержденного Постановлением Правительства Свердловской области от 26.11.2014 N 1051-ПП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Порядок проведения ОРВ), профильный орган после получения от разработчика проекта акта с пояснительной запиской и иными документами формирует уведомление о проведении публичных консультаций и размещает его с проектом акта и пояснительной запиской к проекту акта на интернет-портале "Оценка регулирующего воздействия в Свердловской области" в информационно-телекоммуникационной сети "Интернет", предназначенном для размещения информации об ОРВ проектов нормативных правовых актов Свердловской области и экспертизе нормативных правовых актов Свердловской области http://regulation.midural.ru/ (далее - официальный сайт) с целью проведения публичных консультаций, указывает сроки проведения публичных консультаций и сведения о разработчике проекта акта.</w:t>
      </w:r>
    </w:p>
    <w:p>
      <w:pPr>
        <w:pStyle w:val="0"/>
        <w:jc w:val="both"/>
      </w:pPr>
      <w:r>
        <w:rPr>
          <w:sz w:val="20"/>
        </w:rPr>
        <w:t xml:space="preserve">(п. 9 в ред. </w:t>
      </w:r>
      <w:hyperlink w:history="0" r:id="rId34"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10. Уведомление о проведении публичных консультаций (далее - уведомление), в зависимости от степени регулирующего воздействия, содержит сведения, указанные в формах, утвержденных приказом Министерства экономики и территориального развития Свердловской области.</w:t>
      </w:r>
    </w:p>
    <w:p>
      <w:pPr>
        <w:pStyle w:val="0"/>
        <w:spacing w:before="200" w:lineRule="auto"/>
        <w:ind w:firstLine="540"/>
        <w:jc w:val="both"/>
      </w:pPr>
      <w:r>
        <w:rPr>
          <w:sz w:val="20"/>
        </w:rPr>
        <w:t xml:space="preserve">Информация, содержащаяся в пояснительной записке, направленной разработчиком с проектом акта, должна быть использована профильным органом по возможности полностью при подготовке уведомления о проведении публичных консультаций.</w:t>
      </w:r>
    </w:p>
    <w:p>
      <w:pPr>
        <w:pStyle w:val="0"/>
        <w:spacing w:before="200" w:lineRule="auto"/>
        <w:ind w:firstLine="540"/>
        <w:jc w:val="both"/>
      </w:pPr>
      <w:r>
        <w:rPr>
          <w:sz w:val="20"/>
        </w:rPr>
        <w:t xml:space="preserve">11. Информация, содержащаяся в уведомлении о проведении публичных консультаций по проекту нормативного правового акта Свердловской области со средней и высокой степенью регулирующего воздействия (далее - уведомление для проектов актов средней и высокой степени ОРВ):</w:t>
      </w:r>
    </w:p>
    <w:bookmarkStart w:id="172" w:name="P172"/>
    <w:bookmarkEnd w:id="172"/>
    <w:p>
      <w:pPr>
        <w:pStyle w:val="0"/>
        <w:spacing w:before="200" w:lineRule="auto"/>
        <w:ind w:firstLine="540"/>
        <w:jc w:val="both"/>
      </w:pPr>
      <w:r>
        <w:rPr>
          <w:sz w:val="20"/>
        </w:rPr>
        <w:t xml:space="preserve">1) в разделе 1 "Вид, наименование и планируемый срок вступления в силу нормативного правового акта" уведомления для проектов актов средней и высокой степени ОРВ указывается полное наименование проекта акта, планируемый срок вступления в силу данного проекта акта с учетом времени, затраченного на проведение процедуры ОРВ;</w:t>
      </w:r>
    </w:p>
    <w:p>
      <w:pPr>
        <w:pStyle w:val="0"/>
        <w:spacing w:before="200" w:lineRule="auto"/>
        <w:ind w:firstLine="540"/>
        <w:jc w:val="both"/>
      </w:pPr>
      <w:r>
        <w:rPr>
          <w:sz w:val="20"/>
        </w:rPr>
        <w:t xml:space="preserve">2) в разделе 2 "Сведения о субъекте законодательной инициативы, исполнительном органе государственной власти Свердловской области, разработавшим проект акта" (далее - разработчик) уведомления для проектов актов средней и высокой степени ОРВ должны быть приведены подробные сведения о разработчике проекта акта;</w:t>
      </w:r>
    </w:p>
    <w:bookmarkStart w:id="174" w:name="P174"/>
    <w:bookmarkEnd w:id="174"/>
    <w:p>
      <w:pPr>
        <w:pStyle w:val="0"/>
        <w:spacing w:before="200" w:lineRule="auto"/>
        <w:ind w:firstLine="540"/>
        <w:jc w:val="both"/>
      </w:pPr>
      <w:r>
        <w:rPr>
          <w:sz w:val="20"/>
        </w:rPr>
        <w:t xml:space="preserve">3) в разделе 3 "Способ направления участниками публичных консультаций своих предложений" уведомления для проектов актов средней и высокой степени ОРВ указывается ссылка на официальный сайт;</w:t>
      </w:r>
    </w:p>
    <w:p>
      <w:pPr>
        <w:pStyle w:val="0"/>
        <w:jc w:val="both"/>
      </w:pPr>
      <w:r>
        <w:rPr>
          <w:sz w:val="20"/>
        </w:rPr>
        <w:t xml:space="preserve">(в ред. </w:t>
      </w:r>
      <w:hyperlink w:history="0" r:id="rId35"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4) в разделе 4 "Степень регулирующего воздействия проекта акта" уведомления для проектов актов средней и высокой степени ОРВ приводится результат отнесения проекта акта к высокой или средней степени регулирующего воздействия согласно анализу содержащихся в нем положений в соответствии с </w:t>
      </w:r>
      <w:hyperlink w:history="0" r:id="rId36"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пунктами 2</w:t>
        </w:r>
      </w:hyperlink>
      <w:r>
        <w:rPr>
          <w:sz w:val="20"/>
        </w:rPr>
        <w:t xml:space="preserve"> и </w:t>
      </w:r>
      <w:hyperlink w:history="0" r:id="rId37"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3</w:t>
        </w:r>
      </w:hyperlink>
      <w:r>
        <w:rPr>
          <w:sz w:val="20"/>
        </w:rPr>
        <w:t xml:space="preserve"> Порядка проведения ОРВ.</w:t>
      </w:r>
    </w:p>
    <w:p>
      <w:pPr>
        <w:pStyle w:val="0"/>
        <w:jc w:val="both"/>
      </w:pPr>
      <w:r>
        <w:rPr>
          <w:sz w:val="20"/>
        </w:rPr>
        <w:t xml:space="preserve">(в ред. </w:t>
      </w:r>
      <w:hyperlink w:history="0" r:id="rId38"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В пункте 4.1 раздела 4 "Степень регулирующего воздействия проекта" уведомления для проектов актов средней и высокой степени ОРВ указывается высокая или средняя степень регулирующего воздействия акта.</w:t>
      </w:r>
    </w:p>
    <w:p>
      <w:pPr>
        <w:pStyle w:val="0"/>
        <w:spacing w:before="200" w:lineRule="auto"/>
        <w:ind w:firstLine="540"/>
        <w:jc w:val="both"/>
      </w:pPr>
      <w:r>
        <w:rPr>
          <w:sz w:val="20"/>
        </w:rPr>
        <w:t xml:space="preserve">В пункте 4.2 раздела 4 "Обоснование отнесения проекта акта к определенной степени регулирующего воздействия" уведомления для проектов актов средней и высокой степени ОРВ указываются или даются пояснения, по каким из предусмотренных оснований проводилось отнесение проекта акта к той или иной степени регулирующего воздействия.</w:t>
      </w:r>
    </w:p>
    <w:p>
      <w:pPr>
        <w:pStyle w:val="0"/>
        <w:spacing w:before="200" w:lineRule="auto"/>
        <w:ind w:firstLine="540"/>
        <w:jc w:val="both"/>
      </w:pPr>
      <w:r>
        <w:rPr>
          <w:sz w:val="20"/>
        </w:rPr>
        <w:t xml:space="preserve">Для проектов актов с высокой степенью регулирующего воздействия в обосновании приводятся формулировки конкретных положений или ссылки на структурные элементы проекта акта, содержащие такие положения, которые устанавливают новые обязанности, обязательные требования и запреты для субъектов предпринимательской и инвестиционной деятельности, а также устанавливающие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 При этом достаточно указать одно положение проекта акта, имеющее высокую степень регулирующего воздействия.</w:t>
      </w:r>
    </w:p>
    <w:p>
      <w:pPr>
        <w:pStyle w:val="0"/>
        <w:spacing w:before="200" w:lineRule="auto"/>
        <w:ind w:firstLine="540"/>
        <w:jc w:val="both"/>
      </w:pPr>
      <w:r>
        <w:rPr>
          <w:sz w:val="20"/>
        </w:rPr>
        <w:t xml:space="preserve">Для проектов актов, которые относятся к средней степени регулирующего воздействия, в обосновании приводятся формулировки конкретных положений или ссылки на структурные элементы проекта акта, содержащие такие положения, которые содержат положения, изменяющие ранее предусмотренные нормативными правовыми актами Свердловской области обязанности, обязательные требования и запреты для субъектов предпринимательской и инвестиционной деятельности, а также изменяющие ранее установленную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w:t>
      </w:r>
    </w:p>
    <w:p>
      <w:pPr>
        <w:pStyle w:val="0"/>
        <w:spacing w:before="200" w:lineRule="auto"/>
        <w:ind w:firstLine="540"/>
        <w:jc w:val="both"/>
      </w:pPr>
      <w:r>
        <w:rPr>
          <w:sz w:val="20"/>
        </w:rPr>
        <w:t xml:space="preserve">В случае если внесение изменений в нормативные правовые акты Свердловской области проводится в целях приведения таких нормативных правовых актов в соответствие федеральному законодательству, но выбор или установление параметров регулирования в соответствии с федеральным законодательством отнесено к полномочиям субъекта Российской Федерации, то соответствующий проект акта относится к средней степени регулирующего воздействия.</w:t>
      </w:r>
    </w:p>
    <w:p>
      <w:pPr>
        <w:pStyle w:val="0"/>
        <w:spacing w:before="200" w:lineRule="auto"/>
        <w:ind w:firstLine="540"/>
        <w:jc w:val="both"/>
      </w:pPr>
      <w:r>
        <w:rPr>
          <w:sz w:val="20"/>
        </w:rPr>
        <w:t xml:space="preserve">В случае внесения изменений в правовые акты исключительно в целях приведения таких правовых актов в соответствие федеральному законодательству, в сравнительной таблице поправок указываются конкретные ссылки на положения федерального законодательства, в соответствии с которыми вносятся изменения по всем изменяемым нормам.</w:t>
      </w:r>
    </w:p>
    <w:p>
      <w:pPr>
        <w:pStyle w:val="0"/>
        <w:spacing w:before="200" w:lineRule="auto"/>
        <w:ind w:firstLine="540"/>
        <w:jc w:val="both"/>
      </w:pPr>
      <w:r>
        <w:rPr>
          <w:sz w:val="20"/>
        </w:rPr>
        <w:t xml:space="preserve">Выявление в ходе анализа проекта акта положений более высокой степени регулирующего воздействия, чем та, что указана профильным органом в уведомлении, является основанием для вывода Министерством экономики и территориального развития Свердловской области как уполномоченным органом в сфере ОРВ (далее - уполномоченный орган) о несоблюдении разработчиком Порядка проведения ОРВ.</w:t>
      </w:r>
    </w:p>
    <w:p>
      <w:pPr>
        <w:pStyle w:val="0"/>
        <w:jc w:val="both"/>
      </w:pPr>
      <w:r>
        <w:rPr>
          <w:sz w:val="20"/>
        </w:rPr>
        <w:t xml:space="preserve">(в ред. </w:t>
      </w:r>
      <w:hyperlink w:history="0" r:id="rId39"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В пункте 4.3 раздела 4 "Срок проведения публичных консультаций" уведомления для проектов актов средней и высокой степени ОРВ указывается количество рабочих дней в соответствии со степенью регулирующего воздействия проекта акта и сроками, определенными </w:t>
      </w:r>
      <w:hyperlink w:history="0" r:id="rId40"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пунктами 2</w:t>
        </w:r>
      </w:hyperlink>
      <w:r>
        <w:rPr>
          <w:sz w:val="20"/>
        </w:rPr>
        <w:t xml:space="preserve"> и </w:t>
      </w:r>
      <w:hyperlink w:history="0" r:id="rId41"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12</w:t>
        </w:r>
      </w:hyperlink>
      <w:r>
        <w:rPr>
          <w:sz w:val="20"/>
        </w:rPr>
        <w:t xml:space="preserve"> Порядка проведения ОРВ;</w:t>
      </w:r>
    </w:p>
    <w:p>
      <w:pPr>
        <w:pStyle w:val="0"/>
        <w:jc w:val="both"/>
      </w:pPr>
      <w:r>
        <w:rPr>
          <w:sz w:val="20"/>
        </w:rPr>
        <w:t xml:space="preserve">(в ред. </w:t>
      </w:r>
      <w:hyperlink w:history="0" r:id="rId42"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bookmarkStart w:id="188" w:name="P188"/>
    <w:bookmarkEnd w:id="188"/>
    <w:p>
      <w:pPr>
        <w:pStyle w:val="0"/>
        <w:spacing w:before="200" w:lineRule="auto"/>
        <w:ind w:firstLine="540"/>
        <w:jc w:val="both"/>
      </w:pPr>
      <w:r>
        <w:rPr>
          <w:sz w:val="20"/>
        </w:rPr>
        <w:t xml:space="preserve">5) в разделе 5 "Описание проблемы, на решение которой направлен предлагаемый способ регулирования, оценка негативных эффектов, возникающих в связи с наличием рассматриваемой проблемы" уведомления для проектов актов средней и высокой степени ОРВ должно быть обосновано существование проблемы, на решение которой направлено действие проекта акта, описаны негативные эффекты, связанные с существованием проблемы, риски и последствия сохранения текущей ситуации.</w:t>
      </w:r>
    </w:p>
    <w:p>
      <w:pPr>
        <w:pStyle w:val="0"/>
        <w:spacing w:before="200" w:lineRule="auto"/>
        <w:ind w:firstLine="540"/>
        <w:jc w:val="both"/>
      </w:pPr>
      <w:r>
        <w:rPr>
          <w:sz w:val="20"/>
        </w:rPr>
        <w:t xml:space="preserve">В пункте 5.1 раздела 5 "Описание проблемы, на решение которой направлен предлагаемый способ регулирования, условий и факторов ее существования" уведомления для проектов актов средней и высокой степени ОРВ описывается проблема, которая должна быть сформулирована и описана максимально конкретно. По возможности проблема должна быть оценена количественно с использованием данных из официальных и (или) иных опубликованных источников, которые могут быть верифицированы другими заинтересованными лицами. Желательным является подтверждение существования проблемы с использованием данных из нескольких независимых источников.</w:t>
      </w:r>
    </w:p>
    <w:p>
      <w:pPr>
        <w:pStyle w:val="0"/>
        <w:spacing w:before="200" w:lineRule="auto"/>
        <w:ind w:firstLine="540"/>
        <w:jc w:val="both"/>
      </w:pPr>
      <w:r>
        <w:rPr>
          <w:sz w:val="20"/>
        </w:rPr>
        <w:t xml:space="preserve">Не является проблемой отсутствие нормативного правового регулирования какой-либо сферы. Нормативное правовое регулирование является способом решения проблемы.</w:t>
      </w:r>
    </w:p>
    <w:p>
      <w:pPr>
        <w:pStyle w:val="0"/>
        <w:spacing w:before="200" w:lineRule="auto"/>
        <w:ind w:firstLine="540"/>
        <w:jc w:val="both"/>
      </w:pPr>
      <w:r>
        <w:rPr>
          <w:sz w:val="20"/>
        </w:rPr>
        <w:t xml:space="preserve">Наличие поручения о разработке проекта акта не является обоснованием наличия проблемы. Это управленческое решение, направленное на минимизацию влияния данной проблемы.</w:t>
      </w:r>
    </w:p>
    <w:p>
      <w:pPr>
        <w:pStyle w:val="0"/>
        <w:spacing w:before="200" w:lineRule="auto"/>
        <w:ind w:firstLine="540"/>
        <w:jc w:val="both"/>
      </w:pPr>
      <w:r>
        <w:rPr>
          <w:sz w:val="20"/>
        </w:rPr>
        <w:t xml:space="preserve">Проблемы выявляются в результате:</w:t>
      </w:r>
    </w:p>
    <w:p>
      <w:pPr>
        <w:pStyle w:val="0"/>
        <w:spacing w:before="200" w:lineRule="auto"/>
        <w:ind w:firstLine="540"/>
        <w:jc w:val="both"/>
      </w:pPr>
      <w:r>
        <w:rPr>
          <w:sz w:val="20"/>
        </w:rPr>
        <w:t xml:space="preserve">проведения экспертизы действующих нормативных правовых актов - выявления несоответствия заявленных целей действующих нормативных правовых актов фактическим результатам их реализации;</w:t>
      </w:r>
    </w:p>
    <w:p>
      <w:pPr>
        <w:pStyle w:val="0"/>
        <w:spacing w:before="200" w:lineRule="auto"/>
        <w:ind w:firstLine="540"/>
        <w:jc w:val="both"/>
      </w:pPr>
      <w:r>
        <w:rPr>
          <w:sz w:val="20"/>
        </w:rPr>
        <w:t xml:space="preserve">обращений граждан и организаций, свидетельствующих о наличии проблемы; при этом важно иметь в виду, что обращения могут быть как следствием наличия системной проблемы, так и частным случаем, когда предмет обращения не является проблемой изменения регулирования в целом;</w:t>
      </w:r>
    </w:p>
    <w:p>
      <w:pPr>
        <w:pStyle w:val="0"/>
        <w:spacing w:before="200" w:lineRule="auto"/>
        <w:ind w:firstLine="540"/>
        <w:jc w:val="both"/>
      </w:pPr>
      <w:r>
        <w:rPr>
          <w:sz w:val="20"/>
        </w:rPr>
        <w:t xml:space="preserve">данных органов государственного контроля (надзора), статистических данных о случаях причинения вреда жизни, здоровью, имуществу, нанесения экологического ущерба;</w:t>
      </w:r>
    </w:p>
    <w:p>
      <w:pPr>
        <w:pStyle w:val="0"/>
        <w:spacing w:before="200" w:lineRule="auto"/>
        <w:ind w:firstLine="540"/>
        <w:jc w:val="both"/>
      </w:pPr>
      <w:r>
        <w:rPr>
          <w:sz w:val="20"/>
        </w:rPr>
        <w:t xml:space="preserve">данных опросов общественного мнения, обследований предприятий, иных данных независимых исследований;</w:t>
      </w:r>
    </w:p>
    <w:p>
      <w:pPr>
        <w:pStyle w:val="0"/>
        <w:spacing w:before="200" w:lineRule="auto"/>
        <w:ind w:firstLine="540"/>
        <w:jc w:val="both"/>
      </w:pPr>
      <w:r>
        <w:rPr>
          <w:sz w:val="20"/>
        </w:rPr>
        <w:t xml:space="preserve">иных данных, подтверждающих наличие существования проблемы.</w:t>
      </w:r>
    </w:p>
    <w:p>
      <w:pPr>
        <w:pStyle w:val="0"/>
        <w:spacing w:before="200" w:lineRule="auto"/>
        <w:ind w:firstLine="540"/>
        <w:jc w:val="both"/>
      </w:pPr>
      <w:r>
        <w:rPr>
          <w:sz w:val="20"/>
        </w:rPr>
        <w:t xml:space="preserve">В пункте 5.2 раздела 5 "Негативные эффекты, возникающие в связи с наличием проблемы" уведомления для проектов актов средней и высокой степени ОРВ необходимо указать негативные эффекты, связанные с наличием проблемы. Такие эффекты могут проявляться в следующем.</w:t>
      </w:r>
    </w:p>
    <w:p>
      <w:pPr>
        <w:pStyle w:val="0"/>
        <w:spacing w:before="200" w:lineRule="auto"/>
        <w:ind w:firstLine="540"/>
        <w:jc w:val="both"/>
      </w:pPr>
      <w:r>
        <w:rPr>
          <w:sz w:val="20"/>
        </w:rPr>
        <w:t xml:space="preserve">Высокие издержки применения участниками отношений установленных процедур. Подтверждением наличия этого эффекта могут быть количественные оценки стоимости и продолжительности процедур (в сопоставлении со стоимостью и продолжительностью аналогичных процедур в других странах, субъектах Российской Федерации с оборотными и иными показателями деятельности участников отношений), а также данные об обращениях граждан и организаций.</w:t>
      </w:r>
    </w:p>
    <w:p>
      <w:pPr>
        <w:pStyle w:val="0"/>
        <w:spacing w:before="200" w:lineRule="auto"/>
        <w:ind w:firstLine="540"/>
        <w:jc w:val="both"/>
      </w:pPr>
      <w:r>
        <w:rPr>
          <w:sz w:val="20"/>
        </w:rPr>
        <w:t xml:space="preserve">Недостаток информации для рационального выбора и принятия решений участниками отношений. Вследствие недостатка информации у участников отношений возможны такие негативные последствия, как возможность недобросовестного поведения более информированных участников отношений в отношении менее информированных участников отношений, негативные изменения общих рыночных условий, в том числе недобросовестная конкуренция, неэффективное размещение ресурсов и так далее.</w:t>
      </w:r>
    </w:p>
    <w:p>
      <w:pPr>
        <w:pStyle w:val="0"/>
        <w:spacing w:before="200" w:lineRule="auto"/>
        <w:ind w:firstLine="540"/>
        <w:jc w:val="both"/>
      </w:pPr>
      <w:r>
        <w:rPr>
          <w:sz w:val="20"/>
        </w:rPr>
        <w:t xml:space="preserve">Наличие прочих негативных эффектов для общества, в том числе для экологии, безопасности, состояния конкуренции, инвестиционного климата, социального благополучия, иных негативных эффектов.</w:t>
      </w:r>
    </w:p>
    <w:p>
      <w:pPr>
        <w:pStyle w:val="0"/>
        <w:spacing w:before="200" w:lineRule="auto"/>
        <w:ind w:firstLine="540"/>
        <w:jc w:val="both"/>
      </w:pPr>
      <w:r>
        <w:rPr>
          <w:sz w:val="20"/>
        </w:rPr>
        <w:t xml:space="preserve">Указываются иные негативные эффекты для общества в целом или отдельных групп участников отношений. Наличие таких негативных эффектов также должно быть подтверждено объективными данными.</w:t>
      </w:r>
    </w:p>
    <w:p>
      <w:pPr>
        <w:pStyle w:val="0"/>
        <w:spacing w:before="200" w:lineRule="auto"/>
        <w:ind w:firstLine="540"/>
        <w:jc w:val="both"/>
      </w:pPr>
      <w:r>
        <w:rPr>
          <w:sz w:val="20"/>
        </w:rPr>
        <w:t xml:space="preserve">В пункте 5.3 раздела 5 "Источники данных" уведомления для проектов актов средней и высокой степени ОРВ необходимо указать источники получения информации о наличии проблемы. К числу таких источников могут быть отнесены, например, данные официальной статистики Управления Федеральной службы государственной статистики по Свердловской области и Курганской области, ведомственные данные, результаты различных экспертиз, опросов и исследований, обращения граждан и организаций;</w:t>
      </w:r>
    </w:p>
    <w:p>
      <w:pPr>
        <w:pStyle w:val="0"/>
        <w:spacing w:before="200" w:lineRule="auto"/>
        <w:ind w:firstLine="540"/>
        <w:jc w:val="both"/>
      </w:pPr>
      <w:r>
        <w:rPr>
          <w:sz w:val="20"/>
        </w:rPr>
        <w:t xml:space="preserve">6) в разделе 6 "Анализ федерального, регионального опыта в соответствующих сферах деятельности" уведомления для проектов актов средней и высокой степени ОРВ" указывается федеральный, региональный опыт в соответствующих сферах деятельности.</w:t>
      </w:r>
    </w:p>
    <w:p>
      <w:pPr>
        <w:pStyle w:val="0"/>
        <w:spacing w:before="200" w:lineRule="auto"/>
        <w:ind w:firstLine="540"/>
        <w:jc w:val="both"/>
      </w:pPr>
      <w:r>
        <w:rPr>
          <w:sz w:val="20"/>
        </w:rPr>
        <w:t xml:space="preserve">В пункте 6.1 раздела 6 "Федеральный, региональный опыт в соответствующих сферах деятельности" приводится описание примеров регулирования в соответствующих сферах деятельности в разных регионах с указанием на экономические, правовые, географические и иные особенности, включая определение проблем, на решение которых было направлено регулирование, оценку расходов участников деятельности и государства, показатели, по которым оценивалась эффективность установления обязательных требований, и результаты такой оценки. Приводятся сравнительный анализ предлагаемого проектом акта регулирования с нормативными правовыми актами иных субъектов РФ.</w:t>
      </w:r>
    </w:p>
    <w:p>
      <w:pPr>
        <w:pStyle w:val="0"/>
        <w:spacing w:before="200" w:lineRule="auto"/>
        <w:ind w:firstLine="540"/>
        <w:jc w:val="both"/>
      </w:pPr>
      <w:r>
        <w:rPr>
          <w:sz w:val="20"/>
        </w:rPr>
        <w:t xml:space="preserve">В пункте 6.2 раздела 6 "Источники данных" уведомления для проектов актов средней и высокой степени ОРВ указываются источники использованных данных. Информация об источниках данных представляется в таком объеме и с такой степенью детализации, чтобы обеспечить возможность верификации (подтверждения) другими заинтересованными лицами;</w:t>
      </w:r>
    </w:p>
    <w:p>
      <w:pPr>
        <w:pStyle w:val="0"/>
        <w:spacing w:before="200" w:lineRule="auto"/>
        <w:ind w:firstLine="540"/>
        <w:jc w:val="both"/>
      </w:pPr>
      <w:r>
        <w:rPr>
          <w:sz w:val="20"/>
        </w:rPr>
        <w:t xml:space="preserve">7) в разделе 7 "Цели предлагаемого регулирования и их соответствие принципам правового регулирования, программным документам Президента Российской Федерации, Правительства Российской Федерации, Губернатора Свердловской области, Правительства Свердловской области" уведомления для проектов актов средней и высокой степени ОРВ.</w:t>
      </w:r>
    </w:p>
    <w:p>
      <w:pPr>
        <w:pStyle w:val="0"/>
        <w:spacing w:before="200" w:lineRule="auto"/>
        <w:ind w:firstLine="540"/>
        <w:jc w:val="both"/>
      </w:pPr>
      <w:r>
        <w:rPr>
          <w:sz w:val="20"/>
        </w:rPr>
        <w:t xml:space="preserve">Цели должны быть указаны максимально конкретно, соответствовать заявленным проблемам, на решение которых направлено предлагаемое регулирование, и содержанию предлагаемого проекта акта. Точное соответствие заявленной цели проблеме является ключевым условием эффективности мер предлагаемого регулирования.</w:t>
      </w:r>
    </w:p>
    <w:p>
      <w:pPr>
        <w:pStyle w:val="0"/>
        <w:spacing w:before="200" w:lineRule="auto"/>
        <w:ind w:firstLine="540"/>
        <w:jc w:val="both"/>
      </w:pPr>
      <w:r>
        <w:rPr>
          <w:sz w:val="20"/>
        </w:rPr>
        <w:t xml:space="preserve">Не может являться целью регулирования введение регулирования само по себе.</w:t>
      </w:r>
    </w:p>
    <w:p>
      <w:pPr>
        <w:pStyle w:val="0"/>
        <w:spacing w:before="200" w:lineRule="auto"/>
        <w:ind w:firstLine="540"/>
        <w:jc w:val="both"/>
      </w:pPr>
      <w:r>
        <w:rPr>
          <w:sz w:val="20"/>
        </w:rPr>
        <w:t xml:space="preserve">Формулировка цели, указываемая в пункте 7.1 раздела 7 "Цели предлагаемого регулирования" уведомления, не должна быть:</w:t>
      </w:r>
    </w:p>
    <w:p>
      <w:pPr>
        <w:pStyle w:val="0"/>
        <w:spacing w:before="200" w:lineRule="auto"/>
        <w:ind w:firstLine="540"/>
        <w:jc w:val="both"/>
      </w:pPr>
      <w:r>
        <w:rPr>
          <w:sz w:val="20"/>
        </w:rPr>
        <w:t xml:space="preserve">абстрактной характеристикой желаемого эффекта, в том числе "улучшение ситуации", "создание условий", "содействие", иными аналогичными абстрактными характеристиками;</w:t>
      </w:r>
    </w:p>
    <w:p>
      <w:pPr>
        <w:pStyle w:val="0"/>
        <w:spacing w:before="200" w:lineRule="auto"/>
        <w:ind w:firstLine="540"/>
        <w:jc w:val="both"/>
      </w:pPr>
      <w:r>
        <w:rPr>
          <w:sz w:val="20"/>
        </w:rPr>
        <w:t xml:space="preserve">непонятной для лиц, не обладающих специальными профессиональными знаниями;</w:t>
      </w:r>
    </w:p>
    <w:p>
      <w:pPr>
        <w:pStyle w:val="0"/>
        <w:spacing w:before="200" w:lineRule="auto"/>
        <w:ind w:firstLine="540"/>
        <w:jc w:val="both"/>
      </w:pPr>
      <w:r>
        <w:rPr>
          <w:sz w:val="20"/>
        </w:rPr>
        <w:t xml:space="preserve">неоднозначной по трактовке планируемого результата.</w:t>
      </w:r>
    </w:p>
    <w:p>
      <w:pPr>
        <w:pStyle w:val="0"/>
        <w:spacing w:before="200" w:lineRule="auto"/>
        <w:ind w:firstLine="540"/>
        <w:jc w:val="both"/>
      </w:pPr>
      <w:r>
        <w:rPr>
          <w:sz w:val="20"/>
        </w:rPr>
        <w:t xml:space="preserve">Формулировка цели должна позволять измерять степень ее достижения, точно определить момент ее достижения по конкретным значениям показателей результативности.</w:t>
      </w:r>
    </w:p>
    <w:p>
      <w:pPr>
        <w:pStyle w:val="0"/>
        <w:spacing w:before="200" w:lineRule="auto"/>
        <w:ind w:firstLine="540"/>
        <w:jc w:val="both"/>
      </w:pPr>
      <w:r>
        <w:rPr>
          <w:sz w:val="20"/>
        </w:rPr>
        <w:t xml:space="preserve">Формулировка цели должна оставлять свободу выбора средств и методов достижения требуемого результата и не должна предопределять выбор конкретного способа ее достижения.</w:t>
      </w:r>
    </w:p>
    <w:p>
      <w:pPr>
        <w:pStyle w:val="0"/>
        <w:spacing w:before="200" w:lineRule="auto"/>
        <w:ind w:firstLine="540"/>
        <w:jc w:val="both"/>
      </w:pPr>
      <w:r>
        <w:rPr>
          <w:sz w:val="20"/>
        </w:rPr>
        <w:t xml:space="preserve">Если формулировка цели не позволяет измерить степень ее достижения по причине своей абстрактности, замены характеристики конечного результата описанием средств достижения цели или другим причинам, то такая формулировка не должна применяться.</w:t>
      </w:r>
    </w:p>
    <w:p>
      <w:pPr>
        <w:pStyle w:val="0"/>
        <w:spacing w:before="200" w:lineRule="auto"/>
        <w:ind w:firstLine="540"/>
        <w:jc w:val="both"/>
      </w:pPr>
      <w:r>
        <w:rPr>
          <w:sz w:val="20"/>
        </w:rPr>
        <w:t xml:space="preserve">В случае если проект акта Свердловской области затрагивает вопросы обеспечения устойчивости экономики в связи с недружественными действиями отдельных иностранных государств (далее - внешнее санкционное давление), ввода военного положения или режима повышенной готовности, эта информация должна быть указана в целях регулирования.</w:t>
      </w:r>
    </w:p>
    <w:p>
      <w:pPr>
        <w:pStyle w:val="0"/>
        <w:spacing w:before="200" w:lineRule="auto"/>
        <w:ind w:firstLine="540"/>
        <w:jc w:val="both"/>
      </w:pPr>
      <w:r>
        <w:rPr>
          <w:sz w:val="20"/>
        </w:rPr>
        <w:t xml:space="preserve">В пункте 7.2 раздела 7 "Установленные сроки достижения целей предлагаемого регулирования" уведомления для проектов актов средней и высокой степени ОРВ должны быть указаны ожидаемые обозримые сроки достижения поставленных целей.</w:t>
      </w:r>
    </w:p>
    <w:p>
      <w:pPr>
        <w:pStyle w:val="0"/>
        <w:spacing w:before="200" w:lineRule="auto"/>
        <w:ind w:firstLine="540"/>
        <w:jc w:val="both"/>
      </w:pPr>
      <w:r>
        <w:rPr>
          <w:sz w:val="20"/>
        </w:rPr>
        <w:t xml:space="preserve">В пункте 7.3 раздела 7 "Положения проекта акта, направленные на достижение целей регулирования" уведомления для проектов актов средней и высокой степени ОРВ указываются ссылки на конкретные положения проекта акта, направленные на достижение целей регулирования.</w:t>
      </w:r>
    </w:p>
    <w:p>
      <w:pPr>
        <w:pStyle w:val="0"/>
        <w:spacing w:before="200" w:lineRule="auto"/>
        <w:ind w:firstLine="540"/>
        <w:jc w:val="both"/>
      </w:pPr>
      <w:r>
        <w:rPr>
          <w:sz w:val="20"/>
        </w:rPr>
        <w:t xml:space="preserve">В пункте 7.4 раздела 7 "Обоснование соответствия целей предлагаемого регулирования принципам правового регулирования, программным документам Президента Российской Федерации, Правительства Российской Федерации, Губернатора Свердловской области, Правительства Свердловской области" уведомления для проектов актов средней и высокой степени ОРВ приводится отдельно для каждой указанной цели. При обосновании необходимо указывать конкретные положения указанных документов;</w:t>
      </w:r>
    </w:p>
    <w:p>
      <w:pPr>
        <w:pStyle w:val="0"/>
        <w:spacing w:before="200" w:lineRule="auto"/>
        <w:ind w:firstLine="540"/>
        <w:jc w:val="both"/>
      </w:pPr>
      <w:r>
        <w:rPr>
          <w:sz w:val="20"/>
        </w:rPr>
        <w:t xml:space="preserve">8) при заполнении раздела 8 "Описание предлагаемого регулирования и иных возможных способов решения проблемы" уведомления для проектов актов средней и высокой степени ОРВ необходимо учесть, что выбранный способ регулирования должен существенным образом снижать негативное воздействие проблемы в сфере регулирования (обеспечивать достижение целей регулирования).</w:t>
      </w:r>
    </w:p>
    <w:p>
      <w:pPr>
        <w:pStyle w:val="0"/>
        <w:spacing w:before="200" w:lineRule="auto"/>
        <w:ind w:firstLine="540"/>
        <w:jc w:val="both"/>
      </w:pPr>
      <w:r>
        <w:rPr>
          <w:sz w:val="20"/>
        </w:rPr>
        <w:t xml:space="preserve">В пункте 8.1 раздела 8 "Описание предлагаемого способа решения проблемы и преодоления связанных с ней негативных эффектов" уведомления для проектов актов средней и высокой степени ОРВ необходимо четко описать, в чем именно состоит предлагаемый способ регулирования: на какие отношения и каких именно участников отношений распространяется регулирование, какие требования к участникам отношений, видам деятельности устанавливаются (изменяются или отменяются) предлагаемым проектом акта, какие новые права возникают у участников отношений, каким образом они будут реализованы и какими механизмами соблюдение требований будет контролироваться.</w:t>
      </w:r>
    </w:p>
    <w:p>
      <w:pPr>
        <w:pStyle w:val="0"/>
        <w:spacing w:before="200" w:lineRule="auto"/>
        <w:ind w:firstLine="540"/>
        <w:jc w:val="both"/>
      </w:pPr>
      <w:r>
        <w:rPr>
          <w:sz w:val="20"/>
        </w:rPr>
        <w:t xml:space="preserve">В данном пункте также приводится обоснование, почему из возможных способов решения проблемы был выбран именно предложенный. Наилучшим обоснованием является количественное сопоставление издержек и выгод различных способов решения проблемы. В отсутствие возможности провести соответствующие расчеты должны быть логически обоснованы сравнительные преимущества выбранного способа. Наиболее детальные обоснования предпочтительности выбранного способа требуются для проектов актов, обладающих высокой степенью регулирующего воздействия. Необходимо обосновать, что нужный результат не может быть получен при регулирующем воздействии меньшей степени регулирующего воздействия.</w:t>
      </w:r>
    </w:p>
    <w:p>
      <w:pPr>
        <w:pStyle w:val="0"/>
        <w:spacing w:before="200" w:lineRule="auto"/>
        <w:ind w:firstLine="540"/>
        <w:jc w:val="both"/>
      </w:pPr>
      <w:r>
        <w:rPr>
          <w:sz w:val="20"/>
        </w:rPr>
        <w:t xml:space="preserve">В пункте 8.2 раздела 8 "Описание иных способов решения проблемы, в том числе без вмешательства со стороны государства (с указанием того, каким образом каждым из способов могла бы быть решена проблема)" уведомления для проектов актов средней и высокой степени ОРВ приводится описание иных способов решения проблемы и достижения поставленных целей в том же формате, что и описание предлагаемого регулирования. Если иного, кроме предложенного разработчиком, способа достижения целей не существует (не приведено), то следует убедиться, что формулировка цели не предопределяет выбор конкретного способа ее достижения.</w:t>
      </w:r>
    </w:p>
    <w:p>
      <w:pPr>
        <w:pStyle w:val="0"/>
        <w:spacing w:before="200" w:lineRule="auto"/>
        <w:ind w:firstLine="540"/>
        <w:jc w:val="both"/>
      </w:pPr>
      <w:r>
        <w:rPr>
          <w:sz w:val="20"/>
        </w:rPr>
        <w:t xml:space="preserve">Указываются причины невозможности устранения проблемы участниками соответствующих отношений самостоятельно без вмешательства государства. Необходимо описать, как может развиваться проблема и связанные с ней негативные эффекты без вмешательства государства (отразить базовый сценарий развития событий) и указать не менее двух способов альтернативного регулирования с расчетами издержек по каждому способу.;</w:t>
      </w:r>
    </w:p>
    <w:p>
      <w:pPr>
        <w:pStyle w:val="0"/>
        <w:jc w:val="both"/>
      </w:pPr>
      <w:r>
        <w:rPr>
          <w:sz w:val="20"/>
        </w:rPr>
        <w:t xml:space="preserve">(в ред. </w:t>
      </w:r>
      <w:hyperlink w:history="0" r:id="rId43"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9) раздел 9 "Основные группы лиц, чьи интересы будут затронуты предлагаемым правовым регулированием" уведомления для проектов актов средней и высокой степени ОРВ заполняется по всем проектам актов Свердловской области. В случае если информация представлена разработчиком не в полном объеме, не содержит количественных оценок, не отражает реального, по мнению профильного органа, положения дел, то раздел заполняется профильным органом самостоятельно.</w:t>
      </w:r>
    </w:p>
    <w:p>
      <w:pPr>
        <w:pStyle w:val="0"/>
        <w:spacing w:before="200" w:lineRule="auto"/>
        <w:ind w:firstLine="540"/>
        <w:jc w:val="both"/>
      </w:pPr>
      <w:r>
        <w:rPr>
          <w:sz w:val="20"/>
        </w:rPr>
        <w:t xml:space="preserve">В пункте 9.1 раздела 9 "Группа участников отношений" уведомления для проектов актов средней и высокой степени ОРВ указываются группы участников отношений, интересы которых будут затронуты предлагаемым регулированием, а также дается количественная оценка числа участников каждой группы. Указание следует начинать с групп, которые непосредственно являются объектом регулирования (у которых возникают новые обязанности, права, в отношении которых устанавливаются запреты или ограничения). Источником могут быть статистические данные о количестве предприятий (граждан) той или иной категории, данные реестров о количестве выданных лицензий, полученных разрешений и иные имеющиеся данные. Возможно использование результатов исследований рынков, иных независимых исследований. При невозможности точной однозначной оценки количества субъектов допустимо приведение интервальных оценок с обоснованием методов получения таких оценок.</w:t>
      </w:r>
    </w:p>
    <w:p>
      <w:pPr>
        <w:pStyle w:val="0"/>
        <w:spacing w:before="200" w:lineRule="auto"/>
        <w:ind w:firstLine="540"/>
        <w:jc w:val="both"/>
      </w:pPr>
      <w:r>
        <w:rPr>
          <w:sz w:val="20"/>
        </w:rPr>
        <w:t xml:space="preserve">В пункте 9.2 раздела 9 "Оценка количества участников отношений" уведомления для проектов актов средней и высокой степени ОРВ приводится обоснованный прогноз изменения числа участников. В некоторых случаях возможна экстраполяция существующей динамики численности числа участников. Однако необходимо принимать во внимание те изменения, которые прямо следуют из предлагаемого регулирования, например, ужесточение требований к участникам определенного вида деятельности, вероятно, приведет к сокращению числа таких участников, даже если до введения регулирования их численность росла.</w:t>
      </w:r>
    </w:p>
    <w:p>
      <w:pPr>
        <w:pStyle w:val="0"/>
        <w:spacing w:before="200" w:lineRule="auto"/>
        <w:ind w:firstLine="540"/>
        <w:jc w:val="both"/>
      </w:pPr>
      <w:r>
        <w:rPr>
          <w:sz w:val="20"/>
        </w:rPr>
        <w:t xml:space="preserve">В пункте 9.3 раздела 9 "Источники данных" уведомления для проектов актов средней и высокой степени ОРВ указываются источники использованных данных. Информация об источниках данных представляется в таком объеме и с такой степенью детализации, чтобы обеспечить возможность верификации (подтверждения) другими заинтересованными лицами;</w:t>
      </w:r>
    </w:p>
    <w:p>
      <w:pPr>
        <w:pStyle w:val="0"/>
        <w:spacing w:before="200" w:lineRule="auto"/>
        <w:ind w:firstLine="540"/>
        <w:jc w:val="both"/>
      </w:pPr>
      <w:r>
        <w:rPr>
          <w:sz w:val="20"/>
        </w:rPr>
        <w:t xml:space="preserve">10) в разделе 10 уведомления для проектов актов средней и высокой степени ОРВ "Новые обязанности или ограничения, выгода (преимущества) субъектов предпринимательской и инвестиционной деятельности либо изменение содержания существующих обязанностей и ограничений, выгоды (преимуществ), а также порядок организации исполнения обязанностей и ограничений с учетом информации, представленной в пояснительной записке. Оценка расходов (выгод) субъектов предпринимательской и инвестиционной деятельности, связанных с необходимостью соблюдения регулирования" в данном разделе, указывается оценка влияния проекта акта на совокупный уровень доходов и расходов всех участников отношений.</w:t>
      </w:r>
    </w:p>
    <w:p>
      <w:pPr>
        <w:pStyle w:val="0"/>
        <w:spacing w:before="200" w:lineRule="auto"/>
        <w:ind w:firstLine="540"/>
        <w:jc w:val="both"/>
      </w:pPr>
      <w:r>
        <w:rPr>
          <w:sz w:val="20"/>
        </w:rPr>
        <w:t xml:space="preserve">В случае если информация представлена разработчиком не в полном объеме, не содержит количественных оценок, не отражает реального, по мнению профильного органа, положения дел, то раздел 10 уведомления о проведении публичных консультаций заполняется профильным органом.</w:t>
      </w:r>
    </w:p>
    <w:p>
      <w:pPr>
        <w:pStyle w:val="0"/>
        <w:spacing w:before="200" w:lineRule="auto"/>
        <w:ind w:firstLine="540"/>
        <w:jc w:val="both"/>
      </w:pPr>
      <w:r>
        <w:rPr>
          <w:sz w:val="20"/>
        </w:rPr>
        <w:t xml:space="preserve">В пункте 10.1 раздела 10 "Группа участников отношений" уведомления для проектов актов средней и высокой степени ОРВ приводятся группы участников отношений так, как они указаны в разделе 9 уведомления для проектов актов средней и высокой степени ОРВ.</w:t>
      </w:r>
    </w:p>
    <w:p>
      <w:pPr>
        <w:pStyle w:val="0"/>
        <w:spacing w:before="200" w:lineRule="auto"/>
        <w:ind w:firstLine="540"/>
        <w:jc w:val="both"/>
      </w:pPr>
      <w:r>
        <w:rPr>
          <w:sz w:val="20"/>
        </w:rPr>
        <w:t xml:space="preserve">В пункте 10.2 раздела 10 "Описание новых или изменения содержания существующих обязанностей и ограничений, выгоды (преимуществ), порядок организации исполнения обязанностей и ограничений" уведомления для проектов актов средней и высокой степени ОРВ указываются описание новых или изменения содержания существующих обязанностей, обязательных требований, запретов и ограничений, выгоды (преимущества), которые вводятся проектом акта, а также порядок организации исполнения новых обязанностей, обязательных требований, запретов и соблюдения ограничений.</w:t>
      </w:r>
    </w:p>
    <w:p>
      <w:pPr>
        <w:pStyle w:val="0"/>
        <w:spacing w:before="200" w:lineRule="auto"/>
        <w:ind w:firstLine="540"/>
        <w:jc w:val="both"/>
      </w:pPr>
      <w:r>
        <w:rPr>
          <w:sz w:val="20"/>
        </w:rPr>
        <w:t xml:space="preserve">Порядок может предполагать технологические изменения деятельности участников отношений (например, использование новых технологий и (или) оборудования для выполнения требований), дополнительные информационные требования (например, предоставление отчетности, дополнительное информирование потребителей), ограничения по месту или времени осуществления деятельности (например, ограничения на реализацию некоторых видов товаров в определенных местах и (или) в определенный промежуток времени) и другое. Если порядок должен быть определен другим нормативным правовым актом, указывается необходимость принятия соответствующего акта.</w:t>
      </w:r>
    </w:p>
    <w:p>
      <w:pPr>
        <w:pStyle w:val="0"/>
        <w:spacing w:before="200" w:lineRule="auto"/>
        <w:ind w:firstLine="540"/>
        <w:jc w:val="both"/>
      </w:pPr>
      <w:r>
        <w:rPr>
          <w:sz w:val="20"/>
        </w:rPr>
        <w:t xml:space="preserve">В пункте 10.3 раздела 10 "Описание и оценка видов расходов, выгод (преимуществ)" уведомления для проектов актов средней и высокой степени ОРВ оценка расходов и доходов приводится в рублях в текущих ценах соответствующих лет. При оценке расходов и доходов используются индексы-дефляторы. Для целей оценки доходов и расходов возможна группировка новых (изменяемых, отменяемых) обязанностей или прав, если выделение расходов и доходов по отдельному виду обязанностей не представляется возможным.</w:t>
      </w:r>
    </w:p>
    <w:p>
      <w:pPr>
        <w:pStyle w:val="0"/>
        <w:spacing w:before="200" w:lineRule="auto"/>
        <w:ind w:firstLine="540"/>
        <w:jc w:val="both"/>
      </w:pPr>
      <w:r>
        <w:rPr>
          <w:sz w:val="20"/>
        </w:rPr>
        <w:t xml:space="preserve">Введение (отмена, изменение) обязанностей и прав участников отношений может приводить к росту или сокращению расходов участников, а также к дополнительным или выпадающим доходам (например, за счет сокращения объемов производства и продаж, сокращения числа участников рынка).</w:t>
      </w:r>
    </w:p>
    <w:p>
      <w:pPr>
        <w:pStyle w:val="0"/>
        <w:spacing w:before="200" w:lineRule="auto"/>
        <w:ind w:firstLine="540"/>
        <w:jc w:val="both"/>
      </w:pPr>
      <w:r>
        <w:rPr>
          <w:sz w:val="20"/>
        </w:rPr>
        <w:t xml:space="preserve">При характеристике расходов выделяют единовременные и периодические расходы. Периодические расходы приводятся с указанием периода их осуществления.</w:t>
      </w:r>
    </w:p>
    <w:p>
      <w:pPr>
        <w:pStyle w:val="0"/>
        <w:spacing w:before="200" w:lineRule="auto"/>
        <w:ind w:firstLine="540"/>
        <w:jc w:val="both"/>
      </w:pPr>
      <w:r>
        <w:rPr>
          <w:sz w:val="20"/>
        </w:rPr>
        <w:t xml:space="preserve">При определении доходов и расходов следует использовать официальные статистические данные, данные опросов представителей соответствующих групп (в том числе информацию, полученную в ходе публичных консультаций), социологических опросов, независимых исследований, мониторингов, а также иную релевантную информацию.</w:t>
      </w:r>
    </w:p>
    <w:p>
      <w:pPr>
        <w:pStyle w:val="0"/>
        <w:spacing w:before="200" w:lineRule="auto"/>
        <w:ind w:firstLine="540"/>
        <w:jc w:val="both"/>
      </w:pPr>
      <w:r>
        <w:rPr>
          <w:sz w:val="20"/>
        </w:rPr>
        <w:t xml:space="preserve">Оценка стандартных издержек субъектов предпринимательской и иной экономической деятельности, возникающих в связи с исполнением требований регулирования, проводится согласно "Методике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утвержденной приказом Министерства экономики и территориального развития Свердловской области.</w:t>
      </w:r>
    </w:p>
    <w:p>
      <w:pPr>
        <w:pStyle w:val="0"/>
        <w:spacing w:before="200" w:lineRule="auto"/>
        <w:ind w:firstLine="540"/>
        <w:jc w:val="both"/>
      </w:pPr>
      <w:r>
        <w:rPr>
          <w:sz w:val="20"/>
        </w:rPr>
        <w:t xml:space="preserve">Для оценки расходов и доходов по каждой группе участников отношений и каждой категории требований определяются расходы и доходы "репрезентативного" участника, которые умножаются на число участников группы. Для периодических расходов принимается во внимание прогнозируемое изменение числа участников группы.</w:t>
      </w:r>
    </w:p>
    <w:p>
      <w:pPr>
        <w:pStyle w:val="0"/>
        <w:spacing w:before="200" w:lineRule="auto"/>
        <w:ind w:firstLine="540"/>
        <w:jc w:val="both"/>
      </w:pPr>
      <w:r>
        <w:rPr>
          <w:sz w:val="20"/>
        </w:rPr>
        <w:t xml:space="preserve">В случае отсутствия точных данных о количестве участников группы указываются расходы и доходы "репрезентативного" участника или интервал возможных доходов и расходов участника группы.</w:t>
      </w:r>
    </w:p>
    <w:p>
      <w:pPr>
        <w:pStyle w:val="0"/>
        <w:spacing w:before="200" w:lineRule="auto"/>
        <w:ind w:firstLine="540"/>
        <w:jc w:val="both"/>
      </w:pPr>
      <w:r>
        <w:rPr>
          <w:sz w:val="20"/>
        </w:rPr>
        <w:t xml:space="preserve">При необходимости допускается применять и иные методы расчетов с соответствующим обоснованием;</w:t>
      </w:r>
    </w:p>
    <w:p>
      <w:pPr>
        <w:pStyle w:val="0"/>
        <w:spacing w:before="200" w:lineRule="auto"/>
        <w:ind w:firstLine="540"/>
        <w:jc w:val="both"/>
      </w:pPr>
      <w:r>
        <w:rPr>
          <w:sz w:val="20"/>
        </w:rPr>
        <w:t xml:space="preserve">11) в разделе 11 "Новые функции, полномочия, обязанности и права исполнительных органов государственной власти Свердловской области и органов местного самоуправления муниципальных образований Свердловской области, или сведения об их изменении, а также оценка соответствующих расходов (возможных поступлений) бюджетов бюджетной системы Российской Федерации" уведомления для проектов актов средней и высокой степени ОРВ необходимо указать все функции, полномочия, обязанности и права исполнительных органов государственной власти Свердловской области и органов местного самоуправления, которые вводятся или изменяются, а также функции, которые могут привести к:</w:t>
      </w:r>
    </w:p>
    <w:p>
      <w:pPr>
        <w:pStyle w:val="0"/>
        <w:spacing w:before="200" w:lineRule="auto"/>
        <w:ind w:firstLine="540"/>
        <w:jc w:val="both"/>
      </w:pPr>
      <w:r>
        <w:rPr>
          <w:sz w:val="20"/>
        </w:rPr>
        <w:t xml:space="preserve">росту или сокращению (экономии) расходов бюджетов бюджетной системы;</w:t>
      </w:r>
    </w:p>
    <w:p>
      <w:pPr>
        <w:pStyle w:val="0"/>
        <w:spacing w:before="200" w:lineRule="auto"/>
        <w:ind w:firstLine="540"/>
        <w:jc w:val="both"/>
      </w:pPr>
      <w:r>
        <w:rPr>
          <w:sz w:val="20"/>
        </w:rPr>
        <w:t xml:space="preserve">дополнительным (за счет появления новых источников или за счет расширения доходной базы) или выпадающим (сокращению объемов поступлений налогов, сборов, неналоговых доходов) доходам бюджетов бюджетной системы Российской Федерации.</w:t>
      </w:r>
    </w:p>
    <w:p>
      <w:pPr>
        <w:pStyle w:val="0"/>
        <w:spacing w:before="200" w:lineRule="auto"/>
        <w:ind w:firstLine="540"/>
        <w:jc w:val="both"/>
      </w:pPr>
      <w:r>
        <w:rPr>
          <w:sz w:val="20"/>
        </w:rPr>
        <w:t xml:space="preserve">В пункте 11.1 раздела 11 "Наименование и описание новых или изменения существующих функций, полномочий, обязанностей или прав" уведомления для проектов актов средней и высокой степени ОРВ описывается содержание новых или изменение функций, полномочий, обязанностей или прав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В пункте 11.2 раздела 11 "Порядок реализации" уведомления для проектов актов средней и высокой степени ОРВ кратко описывается порядок реализации соответствующих функций, каким именно органом они реализуются (будут реализовываться). Под порядком реализации функции в том числе понимаются постоянное наблюдение, выборочные проверки (документарные, выездные), анализ отчетности и (или) статистических данных, выдача разрешений, согласование, экспертиза, прием уведомлений и др.</w:t>
      </w:r>
    </w:p>
    <w:p>
      <w:pPr>
        <w:pStyle w:val="0"/>
        <w:spacing w:before="200" w:lineRule="auto"/>
        <w:ind w:firstLine="540"/>
        <w:jc w:val="both"/>
      </w:pPr>
      <w:r>
        <w:rPr>
          <w:sz w:val="20"/>
        </w:rPr>
        <w:t xml:space="preserve">В пункте 11.3 раздела 11 "Описание видов расходов (возможных поступлений) и количественная оценка (в т.ч. с приведением оценки изменения трудозатрат и (или) потребностей в иных ресурсах)" уведомления для проектов актов средней и высокой степени ОРВ указывается количественная оценка расходов (возможных поступлений). При характеристике расходов выделяют единовременные и периодические расходы. Периодические расходы приводятся с указанием периода их осуществления.</w:t>
      </w:r>
    </w:p>
    <w:p>
      <w:pPr>
        <w:pStyle w:val="0"/>
        <w:spacing w:before="200" w:lineRule="auto"/>
        <w:ind w:firstLine="540"/>
        <w:jc w:val="both"/>
      </w:pPr>
      <w:r>
        <w:rPr>
          <w:sz w:val="20"/>
        </w:rPr>
        <w:t xml:space="preserve">Виды единовременных и периодических расходов приводятся в соответствии с видами расходов бюджетов бюджетной системы Российской Федерации (по выбору разработчика) с пояснениями (например, "расходы на содержание дополнительной численности инспекторов", "расходы на создание информационной системы мониторинга").</w:t>
      </w:r>
    </w:p>
    <w:p>
      <w:pPr>
        <w:pStyle w:val="0"/>
        <w:spacing w:before="200" w:lineRule="auto"/>
        <w:ind w:firstLine="540"/>
        <w:jc w:val="both"/>
      </w:pPr>
      <w:r>
        <w:rPr>
          <w:sz w:val="20"/>
        </w:rPr>
        <w:t xml:space="preserve">Указанная оценка проводится в разрезе новых (изменяемых) функций, полномочий, обязанностей или прав органов, или организаций. Оценка расходов и возможных поступлений приводится в рублях в текущих ценах соответствующих лет. При оценке расходов и возможных поступлений используются индексы-дефляторы. Данные о возможных поступлениях (доходах) представляются в разрезе администраторов доходов в соответствии с бюджетным законодательством Российской Федерации, в которые отчисляются налоговые и неналоговые доходы, с корректировкой на объем выпадающих доходов, с указанием причин и объемов недополученных доводов (снижение ставок, введение налоговых льгот и налоговых вычетов).</w:t>
      </w:r>
    </w:p>
    <w:p>
      <w:pPr>
        <w:pStyle w:val="0"/>
        <w:spacing w:before="200" w:lineRule="auto"/>
        <w:ind w:firstLine="540"/>
        <w:jc w:val="both"/>
      </w:pPr>
      <w:r>
        <w:rPr>
          <w:sz w:val="20"/>
        </w:rPr>
        <w:t xml:space="preserve">На основе оценки доходов и расходов по каждой функции формируется итоговая оценка единовременных расходов, периодических расходов и доходов. При формировании сумм учитываются все виды влияния на доходы и расходы (например, итоговый объем доходом равен объему дополнительных доходов, уменьшенному на объем выпадающих доходов).</w:t>
      </w:r>
    </w:p>
    <w:p>
      <w:pPr>
        <w:pStyle w:val="0"/>
        <w:spacing w:before="200" w:lineRule="auto"/>
        <w:ind w:firstLine="540"/>
        <w:jc w:val="both"/>
      </w:pPr>
      <w:r>
        <w:rPr>
          <w:sz w:val="20"/>
        </w:rPr>
        <w:t xml:space="preserve">По каждой изменяемой функции необходимо указать изменение трудозатрат. Приводится данные о совокупном изменении трудозатрат по всем органам, реализующим соответствующую функцию.</w:t>
      </w:r>
    </w:p>
    <w:p>
      <w:pPr>
        <w:pStyle w:val="0"/>
        <w:spacing w:before="200" w:lineRule="auto"/>
        <w:ind w:firstLine="540"/>
        <w:jc w:val="both"/>
      </w:pPr>
      <w:r>
        <w:rPr>
          <w:sz w:val="20"/>
        </w:rPr>
        <w:t xml:space="preserve">В случае появления новой функции указываются дополнительные трудозатраты по ее реализации. Не допускается указание, что введение новой функции не потребует дополнительных трудозатрат: любое новое действие, процедура, обязанность предполагают дополнительные трудозатраты. Прогноз трудозатрат на осуществление новой функции делается на основе оценки трудозатрат по аналогичным функциям и объему предполагаемой деятельности.</w:t>
      </w:r>
    </w:p>
    <w:p>
      <w:pPr>
        <w:pStyle w:val="0"/>
        <w:spacing w:before="200" w:lineRule="auto"/>
        <w:ind w:firstLine="540"/>
        <w:jc w:val="both"/>
      </w:pPr>
      <w:r>
        <w:rPr>
          <w:sz w:val="20"/>
        </w:rPr>
        <w:t xml:space="preserve">В данном разделе указываются также иные ресурсы, которые потребуются дополнительно или будут высвобождены в результате появления (изменения) функций.</w:t>
      </w:r>
    </w:p>
    <w:p>
      <w:pPr>
        <w:pStyle w:val="0"/>
        <w:spacing w:before="200" w:lineRule="auto"/>
        <w:ind w:firstLine="540"/>
        <w:jc w:val="both"/>
      </w:pPr>
      <w:r>
        <w:rPr>
          <w:sz w:val="20"/>
        </w:rPr>
        <w:t xml:space="preserve">В пункте 11.4 раздела 11 "Иные сведения о расходах (возможных поступлениях) бюджетов бюджетной системы Российской Федерации" уведомления для проектов актов средней и высокой степени ОРВ приводятся иные имеющиеся сведения о расходах (возможных поступлениях) бюджетов бюджетной системы Российской Федерации. В частности, в данном пункте указываются итоговое соотношение расходов и возможных поступлений, их соотношение по времени реализации нормативного правового акта (если указанные расходы и поступления неравномерны во времени; так, при высоких единовременных расходах первого года реализации проекта акта объем дополнительных доходов за трехлетний период может не превышать планируемый объем расходов).</w:t>
      </w:r>
    </w:p>
    <w:p>
      <w:pPr>
        <w:pStyle w:val="0"/>
        <w:spacing w:before="200" w:lineRule="auto"/>
        <w:ind w:firstLine="540"/>
        <w:jc w:val="both"/>
      </w:pPr>
      <w:r>
        <w:rPr>
          <w:sz w:val="20"/>
        </w:rPr>
        <w:t xml:space="preserve">В пункте 11.5 раздела 11 "Источники данных" уведомления для проектов актов средней и высокой степени ОРВ указываются источники использованных данных. Информация об источниках данных представляется в таком объеме и с такой степенью детализации, чтобы обеспечить возможность верификации (подтверждения) другими заинтересованными лицами;</w:t>
      </w:r>
    </w:p>
    <w:p>
      <w:pPr>
        <w:pStyle w:val="0"/>
        <w:spacing w:before="200" w:lineRule="auto"/>
        <w:ind w:firstLine="540"/>
        <w:jc w:val="both"/>
      </w:pPr>
      <w:r>
        <w:rPr>
          <w:sz w:val="20"/>
        </w:rPr>
        <w:t xml:space="preserve">12) в разделе 12 "Оценка влияния на конкурентную среду в Свердловской области" указывается следующее:</w:t>
      </w:r>
    </w:p>
    <w:p>
      <w:pPr>
        <w:pStyle w:val="0"/>
        <w:spacing w:before="200" w:lineRule="auto"/>
        <w:ind w:firstLine="540"/>
        <w:jc w:val="both"/>
      </w:pPr>
      <w:r>
        <w:rPr>
          <w:sz w:val="20"/>
        </w:rPr>
        <w:t xml:space="preserve">В пункте 12.1 раздела 12 "Оценка влияния на конкурентную среду в Свердловской области" уведомления для проектов актов средней и высокой степени ОРВ необходимо указать последствия воздействия принятия акта на конкуренцию в регулируемой отрасли и экономике Свердловской области в целом, в том числе на создание конкурентных преимуществ или ограничений для субъектов малого и среднего предпринимательства. Здесь должны быть приведены количественные оценки изменения структуры рынка, численности малых, средних и крупных компаний.</w:t>
      </w:r>
    </w:p>
    <w:p>
      <w:pPr>
        <w:pStyle w:val="0"/>
        <w:spacing w:before="200" w:lineRule="auto"/>
        <w:ind w:firstLine="540"/>
        <w:jc w:val="both"/>
      </w:pPr>
      <w:r>
        <w:rPr>
          <w:sz w:val="20"/>
        </w:rPr>
        <w:t xml:space="preserve">В пункте 12.2 раздела 12 "Источники данных" уведомления для проектов актов средней и высокой степени ОРВ указываются источники использованных данных. Информация об источниках данных представляется в таком объеме и с такой степенью детализации, чтобы обеспечить возможность верификации (подтверждения) другими заинтересованными лицами;</w:t>
      </w:r>
    </w:p>
    <w:p>
      <w:pPr>
        <w:pStyle w:val="0"/>
        <w:spacing w:before="200" w:lineRule="auto"/>
        <w:ind w:firstLine="540"/>
        <w:jc w:val="both"/>
      </w:pPr>
      <w:r>
        <w:rPr>
          <w:sz w:val="20"/>
        </w:rPr>
        <w:t xml:space="preserve">13) в разделе 13 "Риски решения проблемы предложенным способом регулирования и риски негативных последствий" уведомления для проектов актов средней и высокой степени ОРВ приводятся следующие данные:</w:t>
      </w:r>
    </w:p>
    <w:p>
      <w:pPr>
        <w:pStyle w:val="0"/>
        <w:spacing w:before="200" w:lineRule="auto"/>
        <w:ind w:firstLine="540"/>
        <w:jc w:val="both"/>
      </w:pPr>
      <w:r>
        <w:rPr>
          <w:sz w:val="20"/>
        </w:rPr>
        <w:t xml:space="preserve">оценка рисков решения проблемы предложенным способом (рисков, связанных с выбранным способом решения проблемы);</w:t>
      </w:r>
    </w:p>
    <w:p>
      <w:pPr>
        <w:pStyle w:val="0"/>
        <w:spacing w:before="200" w:lineRule="auto"/>
        <w:ind w:firstLine="540"/>
        <w:jc w:val="both"/>
      </w:pPr>
      <w:r>
        <w:rPr>
          <w:sz w:val="20"/>
        </w:rPr>
        <w:t xml:space="preserve">оценка рисков негативных последствий введения предложенного способа регулирования (влияние проекта акта на иные сферы, безотносительно того, направлен ли проект акта на решение проблем в данных сферах или нет).</w:t>
      </w:r>
    </w:p>
    <w:p>
      <w:pPr>
        <w:pStyle w:val="0"/>
        <w:spacing w:before="200" w:lineRule="auto"/>
        <w:ind w:firstLine="540"/>
        <w:jc w:val="both"/>
      </w:pPr>
      <w:r>
        <w:rPr>
          <w:sz w:val="20"/>
        </w:rPr>
        <w:t xml:space="preserve">В пункте 13.1 раздела 13 "Риски решения проблемы предложенным способом и риски негативных последствий" уведомления для проектов актов средней и высокой степени ОРВ при оценке рисков решения проблемы предложенным способом могут рассматриваться следующие виды рисков.</w:t>
      </w:r>
    </w:p>
    <w:p>
      <w:pPr>
        <w:pStyle w:val="0"/>
        <w:spacing w:before="200" w:lineRule="auto"/>
        <w:ind w:firstLine="540"/>
        <w:jc w:val="both"/>
      </w:pPr>
      <w:r>
        <w:rPr>
          <w:sz w:val="20"/>
        </w:rPr>
        <w:t xml:space="preserve">Риски несоответствия между предложенным способом регулирования и заявленными целями предложенного способа регулирования. Такие риски возможны, если предлагаемый проект акта направлен на решение части проблем (не всех выявленных проблем), при выработке решений наблюдается недостаток информации (возможно проанализировать не все аспекты проблемы), способ решения проблемы обозначен на этапе постановки задачи о ее решении (например, доведено поручение по решению проблемы конкретным способом) либо есть высокая вероятность изменения содержания проекта акта на дальнейших этапах прохождения. В качестве методов контроля эффективности избранного способа достижения целей регулирования рассматриваются мероприятия по сбору и анализу данных, мониторингу, "пилотному" внедрению (апробации) и иные методы в зависимости от причины возникновения данного риска.</w:t>
      </w:r>
    </w:p>
    <w:p>
      <w:pPr>
        <w:pStyle w:val="0"/>
        <w:spacing w:before="200" w:lineRule="auto"/>
        <w:ind w:firstLine="540"/>
        <w:jc w:val="both"/>
      </w:pPr>
      <w:r>
        <w:rPr>
          <w:sz w:val="20"/>
        </w:rPr>
        <w:t xml:space="preserve">Риски недостаточности механизмов реализации предложенного способа регулирования для решения проблемы. Данные риски могут быть вызваны как положениями иных нормативных правовых актов, так и неполным решением проблемы в рамках предложенного способа регулирования. Такие риски возможны и в тех случаях, когда отсутствует достаточная информация об оптимальных механизмах реализации (например, о наиболее оптимальных методах поддержки развития тех или иных предприятий, оптимальной организации процедур налогового администрирования). Меры по минимизации данных рисков могут заключаться в обеспечении комплексного подхода к разработке решений выявленных проблем (в том числе путем внесения необходимых изменений в иные нормативные правовые акты, если такие изменения возможны) и использовании механизмов общественного мониторинга и контроля реализации нормативного правового акта (в том числе оценки фактического воздействия).</w:t>
      </w:r>
    </w:p>
    <w:p>
      <w:pPr>
        <w:pStyle w:val="0"/>
        <w:spacing w:before="200" w:lineRule="auto"/>
        <w:ind w:firstLine="540"/>
        <w:jc w:val="both"/>
      </w:pPr>
      <w:r>
        <w:rPr>
          <w:sz w:val="20"/>
        </w:rPr>
        <w:t xml:space="preserve">Риски невозможности обеспечения достаточного контроля соблюдения предлагаемых требований. Указанные риски могут быть связаны с нормативными правовыми ограничениями (отсутствуют механизмы контроля либо полномочий по контролю), с отсутствием достоверной информации, а также с расходами на осуществление такого контроля. При анализе данных рисков рассматриваются как контроль за соблюдением предлагаемых требований государственными (муниципальными) органами, так и возможности общественного контроля, в том числе контроля саморегулируемыми организациями.</w:t>
      </w:r>
    </w:p>
    <w:p>
      <w:pPr>
        <w:pStyle w:val="0"/>
        <w:spacing w:before="200" w:lineRule="auto"/>
        <w:ind w:firstLine="540"/>
        <w:jc w:val="both"/>
      </w:pPr>
      <w:r>
        <w:rPr>
          <w:sz w:val="20"/>
        </w:rPr>
        <w:t xml:space="preserve">Риски отсутствия необходимых ресурсов и кадров. Данные риски рассматриваются как в отношении ресурсного обеспечения государственных (муниципальных) органов, так и в отношении ресурсного обеспечения иных участников отношений. Соответственно, в качестве механизмов по минимизации данных рисков рассматривается как выделение средств бюджетов бюджетной системы Российской Федерации, в том числе на обучение (если недостаток кадрового и ресурсного обеспечения выявлен в государственном секторе), так и мероприятия по обеспечению доступности кадровых и финансовых ресурсов для хозяйствующих субъектов (иных заинтересованных групп).</w:t>
      </w:r>
    </w:p>
    <w:p>
      <w:pPr>
        <w:pStyle w:val="0"/>
        <w:spacing w:before="200" w:lineRule="auto"/>
        <w:ind w:firstLine="540"/>
        <w:jc w:val="both"/>
      </w:pPr>
      <w:r>
        <w:rPr>
          <w:sz w:val="20"/>
        </w:rPr>
        <w:t xml:space="preserve">Риски несоответствия предложенного способа регулирования уровню развития или распространения необходимых технологий. Указанные риски связаны с ограничениями возможностей практического внедрения, в том числе внедрения новых технологий. В случае выявления указываются и иные риски решения проблемы предложенным способом.</w:t>
      </w:r>
    </w:p>
    <w:p>
      <w:pPr>
        <w:pStyle w:val="0"/>
        <w:spacing w:before="200" w:lineRule="auto"/>
        <w:ind w:firstLine="540"/>
        <w:jc w:val="both"/>
      </w:pPr>
      <w:r>
        <w:rPr>
          <w:sz w:val="20"/>
        </w:rPr>
        <w:t xml:space="preserve">Риски негативных последствий реализации проекта акта рассматриваются с учетом рисков его реализации, приведенных выше. При анализе рисков негативных последствий от внедрения предлагаемого проекта акта рассматриваются следующие риски.</w:t>
      </w:r>
    </w:p>
    <w:p>
      <w:pPr>
        <w:pStyle w:val="0"/>
        <w:spacing w:before="200" w:lineRule="auto"/>
        <w:ind w:firstLine="540"/>
        <w:jc w:val="both"/>
      </w:pPr>
      <w:r>
        <w:rPr>
          <w:sz w:val="20"/>
        </w:rPr>
        <w:t xml:space="preserve">Риски для инвестиционного климата, связанные в том числе с ухудшением условий ведения бизнеса, повышением рисков осуществления инвестиций в основной капитал, снижением гарантий для инвесторов, снижением доступности кредитных ресурсов.</w:t>
      </w:r>
    </w:p>
    <w:p>
      <w:pPr>
        <w:pStyle w:val="0"/>
        <w:spacing w:before="200" w:lineRule="auto"/>
        <w:ind w:firstLine="540"/>
        <w:jc w:val="both"/>
      </w:pPr>
      <w:r>
        <w:rPr>
          <w:sz w:val="20"/>
        </w:rPr>
        <w:t xml:space="preserve">Риски для развития малого и среднего предпринимательства, связанные прежде всего со стоимостью начала бизнеса, административными издержками на реализацию предлагаемых мер регулирования, ограничением доступа к необходимым ресурсам.</w:t>
      </w:r>
    </w:p>
    <w:p>
      <w:pPr>
        <w:pStyle w:val="0"/>
        <w:spacing w:before="200" w:lineRule="auto"/>
        <w:ind w:firstLine="540"/>
        <w:jc w:val="both"/>
      </w:pPr>
      <w:r>
        <w:rPr>
          <w:sz w:val="20"/>
        </w:rPr>
        <w:t xml:space="preserve">Риски для состояния конкуренции, которые могут быть связаны с повышением барьеров входа на рынок, с предоставлением преимуществ одним хозяйствующим субъектам по сравнению с другими либо определенным категориям хозяйствующих субъектов, а также с возникновением асимметрии информации на рынке и возможностями недобросовестной конкуренции.</w:t>
      </w:r>
    </w:p>
    <w:p>
      <w:pPr>
        <w:pStyle w:val="0"/>
        <w:spacing w:before="200" w:lineRule="auto"/>
        <w:ind w:firstLine="540"/>
        <w:jc w:val="both"/>
      </w:pPr>
      <w:r>
        <w:rPr>
          <w:sz w:val="20"/>
        </w:rPr>
        <w:t xml:space="preserve">Риски для безопасности и качества продукции, связанные со снижением требований к качеству продукции, могут быть вызваны недостатком информации, при котором рыночные механизмы не могут компенсировать отсутствие контроля за качеством продукции непосредственно потребителями.</w:t>
      </w:r>
    </w:p>
    <w:p>
      <w:pPr>
        <w:pStyle w:val="0"/>
        <w:spacing w:before="200" w:lineRule="auto"/>
        <w:ind w:firstLine="540"/>
        <w:jc w:val="both"/>
      </w:pPr>
      <w:r>
        <w:rPr>
          <w:sz w:val="20"/>
        </w:rPr>
        <w:t xml:space="preserve">Риск для окружающей среды могут быть вызваны потенциальным ростом негативного воздействия на окружающую среду, вызванным вводимыми мерами государственного регулирования, а также не достижением планируемого уровня снижения такого воздействия (если именно на эту цель направлены меры государственного регулирования).</w:t>
      </w:r>
    </w:p>
    <w:p>
      <w:pPr>
        <w:pStyle w:val="0"/>
        <w:spacing w:before="200" w:lineRule="auto"/>
        <w:ind w:firstLine="540"/>
        <w:jc w:val="both"/>
      </w:pPr>
      <w:r>
        <w:rPr>
          <w:sz w:val="20"/>
        </w:rPr>
        <w:t xml:space="preserve">Социальные риски могут быть связаны как с возможным сокращением числа занятых и уровня заработной платы в той или иной сфере, так и с воздействием регулирования на социальное неравенство, бедность, миграционные процессы и иные социальные характеристики.</w:t>
      </w:r>
    </w:p>
    <w:p>
      <w:pPr>
        <w:pStyle w:val="0"/>
        <w:spacing w:before="200" w:lineRule="auto"/>
        <w:ind w:firstLine="540"/>
        <w:jc w:val="both"/>
      </w:pPr>
      <w:r>
        <w:rPr>
          <w:sz w:val="20"/>
        </w:rPr>
        <w:t xml:space="preserve">В рамках анализа рисков влияния предлагаемых мер государственного регулирования рассматриваются и иные возможные последствия, в том числе макроэкономические (влияние меры на экономический рост, производительность труда, инфляцию), производственные (выбор технологий), риски возможных коррупционных проявлений и иные риски.</w:t>
      </w:r>
    </w:p>
    <w:p>
      <w:pPr>
        <w:pStyle w:val="0"/>
        <w:spacing w:before="200" w:lineRule="auto"/>
        <w:ind w:firstLine="540"/>
        <w:jc w:val="both"/>
      </w:pPr>
      <w:r>
        <w:rPr>
          <w:sz w:val="20"/>
        </w:rPr>
        <w:t xml:space="preserve">Вероятность несоблюдения регулирования участниками правоотношений сама по себе не является риском введения регулирования.</w:t>
      </w:r>
    </w:p>
    <w:p>
      <w:pPr>
        <w:pStyle w:val="0"/>
        <w:spacing w:before="200" w:lineRule="auto"/>
        <w:ind w:firstLine="540"/>
        <w:jc w:val="both"/>
      </w:pPr>
      <w:r>
        <w:rPr>
          <w:sz w:val="20"/>
        </w:rPr>
        <w:t xml:space="preserve">В пункте 13.2 раздела 13 "Оценки вероятности наступления рисков" уведомления для проектов актов средней и высокой степени ОРВ по каждому выявленному риску приводится оценка вероятности наступления риска. В случае отсутствия возможности расчета точного значения указанной вероятности допускается указание интервала или оценочной характеристики вероятности (весьма вероятен, вероятен или маловероятен).</w:t>
      </w:r>
    </w:p>
    <w:p>
      <w:pPr>
        <w:pStyle w:val="0"/>
        <w:spacing w:before="200" w:lineRule="auto"/>
        <w:ind w:firstLine="540"/>
        <w:jc w:val="both"/>
      </w:pPr>
      <w:r>
        <w:rPr>
          <w:sz w:val="20"/>
        </w:rPr>
        <w:t xml:space="preserve">Допускается оценка степени контроля рисков в процентах.</w:t>
      </w:r>
    </w:p>
    <w:p>
      <w:pPr>
        <w:pStyle w:val="0"/>
        <w:spacing w:before="200" w:lineRule="auto"/>
        <w:ind w:firstLine="540"/>
        <w:jc w:val="both"/>
      </w:pPr>
      <w:r>
        <w:rPr>
          <w:sz w:val="20"/>
        </w:rPr>
        <w:t xml:space="preserve">В случае отсутствия возможности расчета точного значения указанной степени контроля допускается указание соответствующего интервала или оценочной характеристики: полный контроль (заявленные меры, направленные на минимизацию риска, позволяют полностью исключить его влияние либо его влияние будет стремиться к нулю); частичный контроль (заявленные меры частично способствуют снижению влияния риска); контроль отсутствует (меры отсутствуют либо не оказывают влияния на вероятность наступления риска и (или) степень влияния риска).</w:t>
      </w:r>
    </w:p>
    <w:p>
      <w:pPr>
        <w:pStyle w:val="0"/>
        <w:spacing w:before="200" w:lineRule="auto"/>
        <w:ind w:firstLine="540"/>
        <w:jc w:val="both"/>
      </w:pPr>
      <w:r>
        <w:rPr>
          <w:sz w:val="20"/>
        </w:rPr>
        <w:t xml:space="preserve">Наличие рисков решения проблемы предложенным способом либо рисков негативных последствий реализации проекта акта само по себе не является основанием для отклонения данной инициативы. В то же время при выявлении весьма вероятных рисков негативного воздействия проекта акта, степень контроля которых является частичной (либо контроль над которыми отсутствует), целесообразно рассмотреть возможные альтернативные способы решения проблемы. Если и после такого рассмотрения предложений способ решения проблемы является наилучшим, должно быть приведено соответствующее обоснование (со ссылкой на рассмотренные проблемы).</w:t>
      </w:r>
    </w:p>
    <w:p>
      <w:pPr>
        <w:pStyle w:val="0"/>
        <w:spacing w:before="200" w:lineRule="auto"/>
        <w:ind w:firstLine="540"/>
        <w:jc w:val="both"/>
      </w:pPr>
      <w:r>
        <w:rPr>
          <w:sz w:val="20"/>
        </w:rPr>
        <w:t xml:space="preserve">В пункте 13.3 раздела 13 "Методы контроля эффективности избранного способа достижения целей регулирования" уведомления для проектов актов средней и высокой степени ОРВ при описании методов контроля эффективности избранного способа достижения цели регулирования указываются меры, направленные на снижение каждого выявленного риска. В данный раздел могут быть включены организационно-технические, методологические, информационные и иные мероприятия, мероприятия по мониторингу, иные меры. В пункте 13.4 раздела 13 "Степень контроля рисков" уведомления для проектов актов средней и высокой степени ОРВ для каждой заявленной цели регулирования указывается степень контроля рисков;</w:t>
      </w:r>
    </w:p>
    <w:p>
      <w:pPr>
        <w:pStyle w:val="0"/>
        <w:spacing w:before="200" w:lineRule="auto"/>
        <w:ind w:firstLine="540"/>
        <w:jc w:val="both"/>
      </w:pPr>
      <w:r>
        <w:rPr>
          <w:sz w:val="20"/>
        </w:rPr>
        <w:t xml:space="preserve">14) в разделе 14 "Необходимые для достижения заявленных целей регулирования организационно-технические, методологические, информационные и иные мероприятия" уведомления для проектов актов средней и высокой степени ОРВ указываются все мероприятия, которые необходимы для достижения заявленных целей регулирования и прямо не прописаны в проекте акта.</w:t>
      </w:r>
    </w:p>
    <w:p>
      <w:pPr>
        <w:pStyle w:val="0"/>
        <w:spacing w:before="200" w:lineRule="auto"/>
        <w:ind w:firstLine="540"/>
        <w:jc w:val="both"/>
      </w:pPr>
      <w:r>
        <w:rPr>
          <w:sz w:val="20"/>
        </w:rPr>
        <w:t xml:space="preserve">В пункте 14.1 раздела 14 "Мероприятия, необходимые для достижения целей регулирования" уведомления для проектов актов средней и высокой степени ОРВ указываются в том числе следующие мероприятия:</w:t>
      </w:r>
    </w:p>
    <w:p>
      <w:pPr>
        <w:pStyle w:val="0"/>
        <w:spacing w:before="200" w:lineRule="auto"/>
        <w:ind w:firstLine="540"/>
        <w:jc w:val="both"/>
      </w:pPr>
      <w:r>
        <w:rPr>
          <w:sz w:val="20"/>
        </w:rPr>
        <w:t xml:space="preserve">разработка подзаконных актов, инструкций, методических указаний и (или) иных документов;</w:t>
      </w:r>
    </w:p>
    <w:p>
      <w:pPr>
        <w:pStyle w:val="0"/>
        <w:spacing w:before="200" w:lineRule="auto"/>
        <w:ind w:firstLine="540"/>
        <w:jc w:val="both"/>
      </w:pPr>
      <w:r>
        <w:rPr>
          <w:sz w:val="20"/>
        </w:rPr>
        <w:t xml:space="preserve">создание новых органов, структурных подразделений;</w:t>
      </w:r>
    </w:p>
    <w:p>
      <w:pPr>
        <w:pStyle w:val="0"/>
        <w:spacing w:before="200" w:lineRule="auto"/>
        <w:ind w:firstLine="540"/>
        <w:jc w:val="both"/>
      </w:pPr>
      <w:r>
        <w:rPr>
          <w:sz w:val="20"/>
        </w:rPr>
        <w:t xml:space="preserve">создание информационных ресурсов, баз данных;</w:t>
      </w:r>
    </w:p>
    <w:p>
      <w:pPr>
        <w:pStyle w:val="0"/>
        <w:spacing w:before="200" w:lineRule="auto"/>
        <w:ind w:firstLine="540"/>
        <w:jc w:val="both"/>
      </w:pPr>
      <w:r>
        <w:rPr>
          <w:sz w:val="20"/>
        </w:rPr>
        <w:t xml:space="preserve">обучение сотрудников органов государственной власти и управления, иных участников отношений;</w:t>
      </w:r>
    </w:p>
    <w:p>
      <w:pPr>
        <w:pStyle w:val="0"/>
        <w:spacing w:before="200" w:lineRule="auto"/>
        <w:ind w:firstLine="540"/>
        <w:jc w:val="both"/>
      </w:pPr>
      <w:r>
        <w:rPr>
          <w:sz w:val="20"/>
        </w:rPr>
        <w:t xml:space="preserve">мероприятия по доведению информации до участников отношений;</w:t>
      </w:r>
    </w:p>
    <w:p>
      <w:pPr>
        <w:pStyle w:val="0"/>
        <w:spacing w:before="200" w:lineRule="auto"/>
        <w:ind w:firstLine="540"/>
        <w:jc w:val="both"/>
      </w:pPr>
      <w:r>
        <w:rPr>
          <w:sz w:val="20"/>
        </w:rPr>
        <w:t xml:space="preserve">иные мероприятия.</w:t>
      </w:r>
    </w:p>
    <w:p>
      <w:pPr>
        <w:pStyle w:val="0"/>
        <w:spacing w:before="200" w:lineRule="auto"/>
        <w:ind w:firstLine="540"/>
        <w:jc w:val="both"/>
      </w:pPr>
      <w:r>
        <w:rPr>
          <w:sz w:val="20"/>
        </w:rPr>
        <w:t xml:space="preserve">В пункте 14.2 раздела 14 "Сроки" уведомления для проектов актов средней и высокой степени ОРВ указываются сроки реализации по каждому мероприятию, указанному в пункте 14.1.</w:t>
      </w:r>
    </w:p>
    <w:p>
      <w:pPr>
        <w:pStyle w:val="0"/>
        <w:spacing w:before="200" w:lineRule="auto"/>
        <w:ind w:firstLine="540"/>
        <w:jc w:val="both"/>
      </w:pPr>
      <w:r>
        <w:rPr>
          <w:sz w:val="20"/>
        </w:rPr>
        <w:t xml:space="preserve">В пункте 14.3 раздела 14 "Описание ожидаемого результата" уведомления для проектов актов средней и высокой степени ОРВ должен быть указан измеряемый результат по каждому мероприятию, указанному в пункте 14.1.</w:t>
      </w:r>
    </w:p>
    <w:p>
      <w:pPr>
        <w:pStyle w:val="0"/>
        <w:spacing w:before="200" w:lineRule="auto"/>
        <w:ind w:firstLine="540"/>
        <w:jc w:val="both"/>
      </w:pPr>
      <w:r>
        <w:rPr>
          <w:sz w:val="20"/>
        </w:rPr>
        <w:t xml:space="preserve">В пункте 14.4 раздела 14 "Объем финансирования" уведомления для проектов актов средней и высокой степени ОРВ должны быть даны оценки необходимых финансовых ресурсов по каждому мероприятию, указанному в пункте 14.1.</w:t>
      </w:r>
    </w:p>
    <w:p>
      <w:pPr>
        <w:pStyle w:val="0"/>
        <w:spacing w:before="200" w:lineRule="auto"/>
        <w:ind w:firstLine="540"/>
        <w:jc w:val="both"/>
      </w:pPr>
      <w:r>
        <w:rPr>
          <w:sz w:val="20"/>
        </w:rPr>
        <w:t xml:space="preserve">В пункте 14.5 раздела 14 "Источник финансирования" уведомления для проектов актов средней и высокой степени ОРВ должны быть указаны источники финансирования по каждому мероприятию, указанному в пункте 14.1;</w:t>
      </w:r>
    </w:p>
    <w:p>
      <w:pPr>
        <w:pStyle w:val="0"/>
        <w:spacing w:before="200" w:lineRule="auto"/>
        <w:ind w:firstLine="540"/>
        <w:jc w:val="both"/>
      </w:pPr>
      <w:r>
        <w:rPr>
          <w:sz w:val="20"/>
        </w:rPr>
        <w:t xml:space="preserve">15) в разделе 15 "Предполагаемая дата вступления в силу проекта акта, оценка необходимости установления переходного периода и (или) отсрочки вступления в силу проекта акта либо необходимость распространения предлагаемого регулирования на ранее возникшие отношения" уведомления для проектов актов средней и высокой степени ОРВ указывается предполагаемая дата вступления в силу проекта акта, наличие и сроки переходного периода и (или) отсрочки вступления в силу проекта акта.</w:t>
      </w:r>
    </w:p>
    <w:p>
      <w:pPr>
        <w:pStyle w:val="0"/>
        <w:spacing w:before="200" w:lineRule="auto"/>
        <w:ind w:firstLine="540"/>
        <w:jc w:val="both"/>
      </w:pPr>
      <w:r>
        <w:rPr>
          <w:sz w:val="20"/>
        </w:rPr>
        <w:t xml:space="preserve">Если отдельные положения проекта акта вступают в силу в разное время, приводятся такие положения (ссылки на них) и даты их вступления в силу.</w:t>
      </w:r>
    </w:p>
    <w:p>
      <w:pPr>
        <w:pStyle w:val="0"/>
        <w:spacing w:before="200" w:lineRule="auto"/>
        <w:ind w:firstLine="540"/>
        <w:jc w:val="both"/>
      </w:pPr>
      <w:r>
        <w:rPr>
          <w:sz w:val="20"/>
        </w:rPr>
        <w:t xml:space="preserve">Если установлен переходный период и (или) отсрочка вступления в силу проекта акта, приводится обоснование необходимости такой отсрочки. Необходимость переходного периода и (или) отсрочки вступления в силу проекта акта допускается обосновывать необходимостью технологических, экономических, организационных и иных ограничений (указать, каких именно), не позволяющих группам участников отношений, включая органы государственной власти и местного самоуправления, немедленно приступить к исполнению новых обязанностей, значительными единовременными затратами участников отношений или бюджетной системы, необходимыми для реализации предлагаемого регулирования.</w:t>
      </w:r>
    </w:p>
    <w:p>
      <w:pPr>
        <w:pStyle w:val="0"/>
        <w:spacing w:before="200" w:lineRule="auto"/>
        <w:ind w:firstLine="540"/>
        <w:jc w:val="both"/>
      </w:pPr>
      <w:r>
        <w:rPr>
          <w:sz w:val="20"/>
        </w:rPr>
        <w:t xml:space="preserve">В пункте 15.1 раздела 15 "Предполагаемая дата вступления в силу проекта акта: ___________ 20__ г." уведомления для проектов актов средней и высокой степени ОРВ указывается предполагаемая дата вступления в силу проекта акта.</w:t>
      </w:r>
    </w:p>
    <w:p>
      <w:pPr>
        <w:pStyle w:val="0"/>
        <w:spacing w:before="200" w:lineRule="auto"/>
        <w:ind w:firstLine="540"/>
        <w:jc w:val="both"/>
      </w:pPr>
      <w:r>
        <w:rPr>
          <w:sz w:val="20"/>
        </w:rPr>
        <w:t xml:space="preserve">В пункте 15.2 раздела 15 "Необходимость установления переходного периода и (или) отсрочки введения предлагаемого регулирования" уведомления для проектов актов средней и высокой степени ОРВ указывается "нет" или "да" с указанием срока в днях с момента принятия проекта нормативного правового акта или с указанием даты, к примеру, переходный период до 1 января такого-то года.</w:t>
      </w:r>
    </w:p>
    <w:p>
      <w:pPr>
        <w:pStyle w:val="0"/>
        <w:spacing w:before="200" w:lineRule="auto"/>
        <w:ind w:firstLine="540"/>
        <w:jc w:val="both"/>
      </w:pPr>
      <w:r>
        <w:rPr>
          <w:sz w:val="20"/>
        </w:rPr>
        <w:t xml:space="preserve">В пункте 15.3 раздела 15 "Необходимость распространения предлагаемого регулирования на ранее возникшие отношения" уведомления для проектов актов средней и высокой степени ОРВ указывается "нет" или "да" с указанием срока в днях с момента принятия проекта нормативного правового акта или с даты, с которой предполагается распространение предлагаемого правового регулирования.</w:t>
      </w:r>
    </w:p>
    <w:p>
      <w:pPr>
        <w:pStyle w:val="0"/>
        <w:spacing w:before="200" w:lineRule="auto"/>
        <w:ind w:firstLine="540"/>
        <w:jc w:val="both"/>
      </w:pPr>
      <w:r>
        <w:rPr>
          <w:sz w:val="20"/>
        </w:rPr>
        <w:t xml:space="preserve">В пункте 15.4 раздела 15 "Обоснование необходимости установления переходного периода и (или) отсрочки вступления в силу проекта акта либо необходимости распространения предлагаемого регулирования на ранее возникшие отношения" уведомления для проектов актов средней и высокой степени ОРВ указывается обоснование необходимости установления переходного периода и (или) отсрочки вступления в силу проекта акта либо необходимости распространения предлагаемого регулирования на ранее возникшие отношения;</w:t>
      </w:r>
    </w:p>
    <w:bookmarkStart w:id="303" w:name="P303"/>
    <w:bookmarkEnd w:id="303"/>
    <w:p>
      <w:pPr>
        <w:pStyle w:val="0"/>
        <w:spacing w:before="200" w:lineRule="auto"/>
        <w:ind w:firstLine="540"/>
        <w:jc w:val="both"/>
      </w:pPr>
      <w:r>
        <w:rPr>
          <w:sz w:val="20"/>
        </w:rPr>
        <w:t xml:space="preserve">16) в разделе 16 "Индикативные показатели, достижения цели регулирования, сроки их достижения" уведомления для проектов актов средней и высокой степени ОРВ указываются количественно измеримые показатели (индикаторы), которые характеризуют достижение целей регулирования, а также их прогнозные целевые значения со сроками их достижения. Показатели должны быть указаны по каждой цели.</w:t>
      </w:r>
    </w:p>
    <w:p>
      <w:pPr>
        <w:pStyle w:val="0"/>
        <w:spacing w:before="200" w:lineRule="auto"/>
        <w:ind w:firstLine="540"/>
        <w:jc w:val="both"/>
      </w:pPr>
      <w:r>
        <w:rPr>
          <w:sz w:val="20"/>
        </w:rPr>
        <w:t xml:space="preserve">В пункте 16.1 раздела 16 "Цели предлагаемого регулирования" уведомления для проектов актов средней и высокой степени ОРВ указываются цели предлагаемого регулирования, указанные в пункте 7.1 раздела 7 "Цели предлагаемого регулирования".</w:t>
      </w:r>
    </w:p>
    <w:p>
      <w:pPr>
        <w:pStyle w:val="0"/>
        <w:spacing w:before="200" w:lineRule="auto"/>
        <w:ind w:firstLine="540"/>
        <w:jc w:val="both"/>
      </w:pPr>
      <w:r>
        <w:rPr>
          <w:sz w:val="20"/>
        </w:rPr>
        <w:t xml:space="preserve">В пункте 16.2 раздела 16 "Индикативные показатели" уведомления для проектов актов средней и высокой степени ОРВ указываются индикативные показатели характеризующие достижения целей регулирования.</w:t>
      </w:r>
    </w:p>
    <w:p>
      <w:pPr>
        <w:pStyle w:val="0"/>
        <w:spacing w:before="200" w:lineRule="auto"/>
        <w:ind w:firstLine="540"/>
        <w:jc w:val="both"/>
      </w:pPr>
      <w:r>
        <w:rPr>
          <w:sz w:val="20"/>
        </w:rPr>
        <w:t xml:space="preserve">В пункте 16.3 раздела 16 уведомления для проектов актов средней и высокой степени ОРВ "Сроки достижения индикативных показателей" указываются планируемые сроки достижения индикативных показателей.</w:t>
      </w:r>
    </w:p>
    <w:p>
      <w:pPr>
        <w:pStyle w:val="0"/>
        <w:spacing w:before="200" w:lineRule="auto"/>
        <w:ind w:firstLine="540"/>
        <w:jc w:val="both"/>
      </w:pPr>
      <w:r>
        <w:rPr>
          <w:sz w:val="20"/>
        </w:rPr>
        <w:t xml:space="preserve">В пункте 16.4 раздела 16 уведомления для проектов актов средней и высокой степени ОРВ "Единицы измерения индикативных показателей" указываются единицы измерения индикативных показателей.</w:t>
      </w:r>
    </w:p>
    <w:p>
      <w:pPr>
        <w:pStyle w:val="0"/>
        <w:spacing w:before="200" w:lineRule="auto"/>
        <w:ind w:firstLine="540"/>
        <w:jc w:val="both"/>
      </w:pPr>
      <w:r>
        <w:rPr>
          <w:sz w:val="20"/>
        </w:rPr>
        <w:t xml:space="preserve">В пункте 16.5 раздела 16 уведомления для проектов актов средней и высокой степени ОРВ "Целевые значения" указываются целевые значения индикативных показателей.</w:t>
      </w:r>
    </w:p>
    <w:p>
      <w:pPr>
        <w:pStyle w:val="0"/>
        <w:spacing w:before="200" w:lineRule="auto"/>
        <w:ind w:firstLine="540"/>
        <w:jc w:val="both"/>
      </w:pPr>
      <w:r>
        <w:rPr>
          <w:sz w:val="20"/>
        </w:rPr>
        <w:t xml:space="preserve">В пункте 16.6 раздела 16 "Способы расчета индикативных показателей" уведомления для проектов актов средней и высокой степени ОРВ данного раздела указываются способы расчета индикативных показателей. В случае если показатель прямо не рассчитывается статистическими органами, указываются способы расчета показателя и источники информации для его расчета, при этом необходимо оценить затраты на ведение мониторинга, включая затраты на сбор исходных данных и их обработку;</w:t>
      </w:r>
    </w:p>
    <w:bookmarkStart w:id="310" w:name="P310"/>
    <w:bookmarkEnd w:id="310"/>
    <w:p>
      <w:pPr>
        <w:pStyle w:val="0"/>
        <w:spacing w:before="200" w:lineRule="auto"/>
        <w:ind w:firstLine="540"/>
        <w:jc w:val="both"/>
      </w:pPr>
      <w:r>
        <w:rPr>
          <w:sz w:val="20"/>
        </w:rPr>
        <w:t xml:space="preserve">17) в разделе 17 "Оценка позитивных и негативных эффектов для общества при проведении предлагаемого регулирования" уведомления для проектов актов средней и высокой степени ОРВ указывается информация о положительных и негативных эффектах в обществе, которые могут возникнуть в связи с введением проекта акта в действие.</w:t>
      </w:r>
    </w:p>
    <w:bookmarkStart w:id="311" w:name="P311"/>
    <w:bookmarkEnd w:id="311"/>
    <w:p>
      <w:pPr>
        <w:pStyle w:val="0"/>
        <w:spacing w:before="200" w:lineRule="auto"/>
        <w:ind w:firstLine="540"/>
        <w:jc w:val="both"/>
      </w:pPr>
      <w:r>
        <w:rPr>
          <w:sz w:val="20"/>
        </w:rPr>
        <w:t xml:space="preserve">12. Информация, содержащаяся в уведомлении о проведении публичных консультаций по проекту нормативного правового акта Свердловской области с низкой степенью регулирующего воздействия (далее - уведомление для проектов актов с низкой степенью ОРВ):</w:t>
      </w:r>
    </w:p>
    <w:p>
      <w:pPr>
        <w:pStyle w:val="0"/>
        <w:spacing w:before="200" w:lineRule="auto"/>
        <w:ind w:firstLine="540"/>
        <w:jc w:val="both"/>
      </w:pPr>
      <w:r>
        <w:rPr>
          <w:sz w:val="20"/>
        </w:rPr>
        <w:t xml:space="preserve">разделы 1 - 3 уведомления для проектов актов с низкой степенью ОРВ заполняются в соответствии с рекомендациями, изложенными в </w:t>
      </w:r>
      <w:hyperlink w:history="0" w:anchor="P172" w:tooltip="1) в разделе 1 &quot;Вид, наименование и планируемый срок вступления в силу нормативного правового акта&quot; уведомления для проектов актов средней и высокой степени ОРВ указывается полное наименование проекта акта, планируемый срок вступления в силу данного проекта акта с учетом времени, затраченного на проведение процедуры ОРВ;">
        <w:r>
          <w:rPr>
            <w:sz w:val="20"/>
            <w:color w:val="0000ff"/>
          </w:rPr>
          <w:t xml:space="preserve">подпунктах 1</w:t>
        </w:r>
      </w:hyperlink>
      <w:r>
        <w:rPr>
          <w:sz w:val="20"/>
        </w:rPr>
        <w:t xml:space="preserve"> - </w:t>
      </w:r>
      <w:hyperlink w:history="0" w:anchor="P174" w:tooltip="3) в разделе 3 &quot;Способ направления участниками публичных консультаций своих предложений&quot; уведомления для проектов актов средней и высокой степени ОРВ указывается ссылка на официальный сайт;">
        <w:r>
          <w:rPr>
            <w:sz w:val="20"/>
            <w:color w:val="0000ff"/>
          </w:rPr>
          <w:t xml:space="preserve">3 пункта 11</w:t>
        </w:r>
      </w:hyperlink>
      <w:r>
        <w:rPr>
          <w:sz w:val="20"/>
        </w:rPr>
        <w:t xml:space="preserve"> настоящих методических рекомендаций.</w:t>
      </w:r>
    </w:p>
    <w:p>
      <w:pPr>
        <w:pStyle w:val="0"/>
        <w:spacing w:before="200" w:lineRule="auto"/>
        <w:ind w:firstLine="540"/>
        <w:jc w:val="both"/>
      </w:pPr>
      <w:r>
        <w:rPr>
          <w:sz w:val="20"/>
        </w:rPr>
        <w:t xml:space="preserve">В разделе 4 для проектов актов, относящихся к низкой степени регулирующего воздействия, указывается, что проект акта не содержит положений, предусмотренных </w:t>
      </w:r>
      <w:hyperlink w:history="0" r:id="rId44"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подпунктами 1</w:t>
        </w:r>
      </w:hyperlink>
      <w:r>
        <w:rPr>
          <w:sz w:val="20"/>
        </w:rPr>
        <w:t xml:space="preserve"> и </w:t>
      </w:r>
      <w:hyperlink w:history="0" r:id="rId45"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2 пункта 2</w:t>
        </w:r>
      </w:hyperlink>
      <w:r>
        <w:rPr>
          <w:sz w:val="20"/>
        </w:rPr>
        <w:t xml:space="preserve"> Порядка проведения ОРВ.</w:t>
      </w:r>
    </w:p>
    <w:p>
      <w:pPr>
        <w:pStyle w:val="0"/>
        <w:jc w:val="both"/>
      </w:pPr>
      <w:r>
        <w:rPr>
          <w:sz w:val="20"/>
        </w:rPr>
        <w:t xml:space="preserve">(в ред. </w:t>
      </w:r>
      <w:hyperlink w:history="0" r:id="rId46"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Разделы 6 - 12 уведомления для проектов актов с низкой степенью ОРВ соответствуют разделам 7 - 9, 12, 10.3, 11.3, 17 формы уведомления для проектов актов средней и высокой степени ОРВ.</w:t>
      </w:r>
    </w:p>
    <w:bookmarkStart w:id="316" w:name="P316"/>
    <w:bookmarkEnd w:id="316"/>
    <w:p>
      <w:pPr>
        <w:pStyle w:val="0"/>
        <w:spacing w:before="200" w:lineRule="auto"/>
        <w:ind w:firstLine="540"/>
        <w:jc w:val="both"/>
      </w:pPr>
      <w:r>
        <w:rPr>
          <w:sz w:val="20"/>
        </w:rPr>
        <w:t xml:space="preserve">13. Информация, содержащаяся в уведомлении о проведении публичных консультаций по проекту нормативного правового акта Свердловской области, затрагивающего вопросы осуществления предпринимательской и иной экономической деятельности в сфере предоставления мер государственной поддержки (далее - уведомление для проектов актов о мерах государственной поддержки):</w:t>
      </w:r>
    </w:p>
    <w:p>
      <w:pPr>
        <w:pStyle w:val="0"/>
        <w:spacing w:before="200" w:lineRule="auto"/>
        <w:ind w:firstLine="540"/>
        <w:jc w:val="both"/>
      </w:pPr>
      <w:r>
        <w:rPr>
          <w:sz w:val="20"/>
        </w:rPr>
        <w:t xml:space="preserve">1) разделы 1 - 5 уведомления для проектов актов о мерах государственной поддержки заполняются в соответствии с рекомендациями, изложенными в </w:t>
      </w:r>
      <w:hyperlink w:history="0" w:anchor="P172" w:tooltip="1) в разделе 1 &quot;Вид, наименование и планируемый срок вступления в силу нормативного правового акта&quot; уведомления для проектов актов средней и высокой степени ОРВ указывается полное наименование проекта акта, планируемый срок вступления в силу данного проекта акта с учетом времени, затраченного на проведение процедуры ОРВ;">
        <w:r>
          <w:rPr>
            <w:sz w:val="20"/>
            <w:color w:val="0000ff"/>
          </w:rPr>
          <w:t xml:space="preserve">подпунктах 1</w:t>
        </w:r>
      </w:hyperlink>
      <w:r>
        <w:rPr>
          <w:sz w:val="20"/>
        </w:rPr>
        <w:t xml:space="preserve"> - </w:t>
      </w:r>
      <w:hyperlink w:history="0" w:anchor="P188" w:tooltip="5) в разделе 5 &quot;Описание проблемы, на решение которой направлен предлагаемый способ регулирования, оценка негативных эффектов, возникающих в связи с наличием рассматриваемой проблемы&quot; уведомления для проектов актов средней и высокой степени ОРВ должно быть обосновано существование проблемы, на решение которой направлено действие проекта акта, описаны негативные эффекты, связанные с существованием проблемы, риски и последствия сохранения текущей ситуации.">
        <w:r>
          <w:rPr>
            <w:sz w:val="20"/>
            <w:color w:val="0000ff"/>
          </w:rPr>
          <w:t xml:space="preserve">5 пункта 11</w:t>
        </w:r>
      </w:hyperlink>
      <w:r>
        <w:rPr>
          <w:sz w:val="20"/>
        </w:rPr>
        <w:t xml:space="preserve"> настоящих методических рекомендаций;</w:t>
      </w:r>
    </w:p>
    <w:p>
      <w:pPr>
        <w:pStyle w:val="0"/>
        <w:spacing w:before="200" w:lineRule="auto"/>
        <w:ind w:firstLine="540"/>
        <w:jc w:val="both"/>
      </w:pPr>
      <w:r>
        <w:rPr>
          <w:sz w:val="20"/>
        </w:rPr>
        <w:t xml:space="preserve">2) раздел 6 "Информация об основных положениях проекта" уведомления для проектов актов мер государственной поддержки в данном разделе указываются основные положения проекта.</w:t>
      </w:r>
    </w:p>
    <w:p>
      <w:pPr>
        <w:pStyle w:val="0"/>
        <w:spacing w:before="200" w:lineRule="auto"/>
        <w:ind w:firstLine="540"/>
        <w:jc w:val="both"/>
      </w:pPr>
      <w:r>
        <w:rPr>
          <w:sz w:val="20"/>
        </w:rPr>
        <w:t xml:space="preserve">В пункте 6.1 раздела 6 "Предоставляемые меры государственной поддержки" уведомления для проектов актов о мерах государственной поддержки указываются меры государственной поддержки, в том числе государственная гарантия, предоставляемая за счет средств бюджетов всех уровней, субсидии (в том числе гранты в форме субсидии), передача казенного имущества и т.п.</w:t>
      </w:r>
    </w:p>
    <w:p>
      <w:pPr>
        <w:pStyle w:val="0"/>
        <w:spacing w:before="200" w:lineRule="auto"/>
        <w:ind w:firstLine="540"/>
        <w:jc w:val="both"/>
      </w:pPr>
      <w:r>
        <w:rPr>
          <w:sz w:val="20"/>
        </w:rPr>
        <w:t xml:space="preserve">В пункте 6.2 раздела 6 "Государственная (муниципальная) программа, в рамках которой предоставляются меры государственной поддержки, и оценка расходов бюджета" уведомления для проектов актов о мерах государственной поддержки указываются название и реквизиты государственной (муниципальной) программы, в рамках которой предоставляются меры государственной поддержки, а также описываются предполагаемые расходы бюджета.</w:t>
      </w:r>
    </w:p>
    <w:p>
      <w:pPr>
        <w:pStyle w:val="0"/>
        <w:spacing w:before="200" w:lineRule="auto"/>
        <w:ind w:firstLine="540"/>
        <w:jc w:val="both"/>
      </w:pPr>
      <w:r>
        <w:rPr>
          <w:sz w:val="20"/>
        </w:rPr>
        <w:t xml:space="preserve">В пункте 6.3 раздела 6 "Цели предоставления мер государственной поддержки" уведомления для проектов актов о мерах государственной поддержки указываются цели, ожидаемые результаты предоставления мер государственной поддержки для экономики и общества региона.</w:t>
      </w:r>
    </w:p>
    <w:p>
      <w:pPr>
        <w:pStyle w:val="0"/>
        <w:spacing w:before="200" w:lineRule="auto"/>
        <w:ind w:firstLine="540"/>
        <w:jc w:val="both"/>
      </w:pPr>
      <w:r>
        <w:rPr>
          <w:sz w:val="20"/>
        </w:rPr>
        <w:t xml:space="preserve">В пункте 6.4 раздела 6 "Круг получателей мер государственной поддержки" уведомления для проектов актов о мерах государственной поддержки указываются организации, которые могут претендовать на получение мер государственной поддержки.</w:t>
      </w:r>
    </w:p>
    <w:p>
      <w:pPr>
        <w:pStyle w:val="0"/>
        <w:spacing w:before="200" w:lineRule="auto"/>
        <w:ind w:firstLine="540"/>
        <w:jc w:val="both"/>
      </w:pPr>
      <w:r>
        <w:rPr>
          <w:sz w:val="20"/>
        </w:rPr>
        <w:t xml:space="preserve">В пункте 6.5 раздела 6 "Оценка влияния на конкурентную среду в регионе" уведомления для проектов актов о мерах государственной поддержки заполняется аналогично разделу 12 формы уведомления для проектов актов средней и высокой степени ОРВ.</w:t>
      </w:r>
    </w:p>
    <w:p>
      <w:pPr>
        <w:pStyle w:val="0"/>
        <w:spacing w:before="200" w:lineRule="auto"/>
        <w:ind w:firstLine="540"/>
        <w:jc w:val="both"/>
      </w:pPr>
      <w:r>
        <w:rPr>
          <w:sz w:val="20"/>
        </w:rPr>
        <w:t xml:space="preserve">В пункте 6.6 раздела 6 "Ожидаемый результат предоставления мер государственной поддержки" уведомления для проектов актов о мерах государственной поддержки указывается предполагаемый количественный результат деятельности получателей мер государственной поддержки;</w:t>
      </w:r>
    </w:p>
    <w:p>
      <w:pPr>
        <w:pStyle w:val="0"/>
        <w:spacing w:before="200" w:lineRule="auto"/>
        <w:ind w:firstLine="540"/>
        <w:jc w:val="both"/>
      </w:pPr>
      <w:r>
        <w:rPr>
          <w:sz w:val="20"/>
        </w:rPr>
        <w:t xml:space="preserve">3) пункт 7.1 раздела 7 "Оценка позитивных и негативных эффектов для общества при введении предлагаемого регулирования" уведомления для проектов актов о мерах государственной поддержки заполняется в соответствии с рекомендациями, изложенными в </w:t>
      </w:r>
      <w:hyperlink w:history="0" w:anchor="P310" w:tooltip="17) в разделе 17 &quot;Оценка позитивных и негативных эффектов для общества при проведении предлагаемого регулирования&quot; уведомления для проектов актов средней и высокой степени ОРВ указывается информация о положительных и негативных эффектах в обществе, которые могут возникнуть в связи с введением проекта акта в действие.">
        <w:r>
          <w:rPr>
            <w:sz w:val="20"/>
            <w:color w:val="0000ff"/>
          </w:rPr>
          <w:t xml:space="preserve">подпункте 17 пункта 11</w:t>
        </w:r>
      </w:hyperlink>
      <w:r>
        <w:rPr>
          <w:sz w:val="20"/>
        </w:rPr>
        <w:t xml:space="preserve"> настоящих методических рекомендаций.</w:t>
      </w:r>
    </w:p>
    <w:p>
      <w:pPr>
        <w:pStyle w:val="0"/>
        <w:spacing w:before="200" w:lineRule="auto"/>
        <w:ind w:firstLine="540"/>
        <w:jc w:val="both"/>
      </w:pPr>
      <w:hyperlink w:history="0" r:id="rId47"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14</w:t>
        </w:r>
      </w:hyperlink>
      <w:r>
        <w:rPr>
          <w:sz w:val="20"/>
        </w:rPr>
        <w:t xml:space="preserve">. К уведомлению о проведении публичных консультаций прилагается перечень вопросов для участников публичных консультаций, могут прилагаться аналитические, статистические материалы, сведения, которые позволяют оценить обоснованность предлагаемого регулирования.</w:t>
      </w:r>
    </w:p>
    <w:p>
      <w:pPr>
        <w:pStyle w:val="0"/>
        <w:spacing w:before="200" w:lineRule="auto"/>
        <w:ind w:firstLine="540"/>
        <w:jc w:val="both"/>
      </w:pPr>
      <w:r>
        <w:rPr>
          <w:sz w:val="20"/>
        </w:rPr>
        <w:t xml:space="preserve">Если проект акта вносит изменения в действующий нормативный правовой акт, профильным органом направляется его действующая редакция и сравнительная таблица поправок с учетом планируемых изменений.</w:t>
      </w:r>
    </w:p>
    <w:p>
      <w:pPr>
        <w:pStyle w:val="0"/>
        <w:spacing w:before="200" w:lineRule="auto"/>
        <w:ind w:firstLine="540"/>
        <w:jc w:val="both"/>
      </w:pPr>
      <w:r>
        <w:rPr>
          <w:sz w:val="20"/>
        </w:rPr>
        <w:t xml:space="preserve">В случае внесения изменений в нормативные правовые акты Свердловской области исключительно в целях приведения таких нормативных правовых актов в соответствие федеральному законодательству, в таблице поправок указываются конкретные ссылки на положения федерального законодательства, в соответствии с которыми вносятся изменения по всем изменяемым нормам.</w:t>
      </w:r>
    </w:p>
    <w:p>
      <w:pPr>
        <w:pStyle w:val="0"/>
        <w:jc w:val="both"/>
      </w:pPr>
      <w:r>
        <w:rPr>
          <w:sz w:val="20"/>
        </w:rPr>
      </w:r>
    </w:p>
    <w:p>
      <w:pPr>
        <w:pStyle w:val="2"/>
        <w:outlineLvl w:val="1"/>
        <w:jc w:val="center"/>
      </w:pPr>
      <w:r>
        <w:rPr>
          <w:sz w:val="20"/>
        </w:rPr>
        <w:t xml:space="preserve">Глава 3. ЗАКЛЮЧЕНИЕ ОБ ОЦЕНКЕ РЕГУЛИРУЮЩЕГО ВОЗДЕЙСТВИЯ.</w:t>
      </w:r>
    </w:p>
    <w:p>
      <w:pPr>
        <w:pStyle w:val="2"/>
        <w:jc w:val="center"/>
      </w:pPr>
      <w:r>
        <w:rPr>
          <w:sz w:val="20"/>
        </w:rPr>
        <w:t xml:space="preserve">РЕКОМЕНДАЦИИ ПО СОСТАВЛЕНИЮ</w:t>
      </w:r>
    </w:p>
    <w:p>
      <w:pPr>
        <w:pStyle w:val="0"/>
        <w:jc w:val="both"/>
      </w:pPr>
      <w:r>
        <w:rPr>
          <w:sz w:val="20"/>
        </w:rPr>
      </w:r>
    </w:p>
    <w:p>
      <w:pPr>
        <w:pStyle w:val="0"/>
        <w:ind w:firstLine="540"/>
        <w:jc w:val="both"/>
      </w:pPr>
      <w:r>
        <w:rPr>
          <w:sz w:val="20"/>
        </w:rPr>
        <w:t xml:space="preserve">15. Заключение об оценке регулирующего воздействия (далее - заключение) подготавливается профильным органом в сроки, предусмотренные </w:t>
      </w:r>
      <w:hyperlink w:history="0" r:id="rId48"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w:t>
      </w:r>
    </w:p>
    <w:p>
      <w:pPr>
        <w:pStyle w:val="0"/>
        <w:spacing w:before="200" w:lineRule="auto"/>
        <w:ind w:firstLine="540"/>
        <w:jc w:val="both"/>
      </w:pPr>
      <w:r>
        <w:rPr>
          <w:sz w:val="20"/>
        </w:rPr>
        <w:t xml:space="preserve">16. Заключение представляет собой сводную информацию - анализ эффективности и целесообразности вводимого регулирования. В заключении должны быть представлены доработанные и обобщенные сведения из пояснительной записки к проекту акта и уведомления о проведении публичных консультаций.</w:t>
      </w:r>
    </w:p>
    <w:p>
      <w:pPr>
        <w:pStyle w:val="0"/>
        <w:spacing w:before="200" w:lineRule="auto"/>
        <w:ind w:firstLine="540"/>
        <w:jc w:val="both"/>
      </w:pPr>
      <w:r>
        <w:rPr>
          <w:sz w:val="20"/>
        </w:rPr>
        <w:t xml:space="preserve">К заключению прилагаются:</w:t>
      </w:r>
    </w:p>
    <w:p>
      <w:pPr>
        <w:pStyle w:val="0"/>
        <w:spacing w:before="200" w:lineRule="auto"/>
        <w:ind w:firstLine="540"/>
        <w:jc w:val="both"/>
      </w:pPr>
      <w:r>
        <w:rPr>
          <w:sz w:val="20"/>
        </w:rPr>
        <w:t xml:space="preserve">- </w:t>
      </w:r>
      <w:hyperlink w:history="0" w:anchor="P410" w:tooltip="СВОДКА">
        <w:r>
          <w:rPr>
            <w:sz w:val="20"/>
            <w:color w:val="0000ff"/>
          </w:rPr>
          <w:t xml:space="preserve">сводка</w:t>
        </w:r>
      </w:hyperlink>
      <w:r>
        <w:rPr>
          <w:sz w:val="20"/>
        </w:rPr>
        <w:t xml:space="preserve"> предложений по итогам проведения публичных консультаций по проекту нормативного правового акта, поступивших от участников публичных консультаций по проекту нормативного правового акта Свердловской области (далее - сводка предложений), с обоснованной информацией разработчика об учете (частичном учете) или о причинах отклонения предложений, содержащихся в сводке предложений (приложение N 1);</w:t>
      </w:r>
    </w:p>
    <w:p>
      <w:pPr>
        <w:pStyle w:val="0"/>
        <w:spacing w:before="200" w:lineRule="auto"/>
        <w:ind w:firstLine="540"/>
        <w:jc w:val="both"/>
      </w:pPr>
      <w:r>
        <w:rPr>
          <w:sz w:val="20"/>
        </w:rPr>
        <w:t xml:space="preserve">- протоколы согласительных совещаний (при наличии);</w:t>
      </w:r>
    </w:p>
    <w:p>
      <w:pPr>
        <w:pStyle w:val="0"/>
        <w:spacing w:before="200" w:lineRule="auto"/>
        <w:ind w:firstLine="540"/>
        <w:jc w:val="both"/>
      </w:pPr>
      <w:r>
        <w:rPr>
          <w:sz w:val="20"/>
        </w:rPr>
        <w:t xml:space="preserve">- заключение Уполномоченного по защите прав предпринимателей в Свердловской области (при наличии). Разработчик, в случае поступления от Уполномоченного по защите прав предпринимателей в Свердловской области заключения по проекту акта, должен включить поступившие предложения в сводку предложений и предоставить обоснованную информацию об учете (частичном учете) или о причинах отклонения предложений;</w:t>
      </w:r>
    </w:p>
    <w:p>
      <w:pPr>
        <w:pStyle w:val="0"/>
        <w:spacing w:before="200" w:lineRule="auto"/>
        <w:ind w:firstLine="540"/>
        <w:jc w:val="both"/>
      </w:pPr>
      <w:r>
        <w:rPr>
          <w:sz w:val="20"/>
        </w:rPr>
        <w:t xml:space="preserve">- протокол дополнительных публичных консультаций (при наличии).</w:t>
      </w:r>
    </w:p>
    <w:p>
      <w:pPr>
        <w:pStyle w:val="0"/>
        <w:spacing w:before="200" w:lineRule="auto"/>
        <w:ind w:firstLine="540"/>
        <w:jc w:val="both"/>
      </w:pPr>
      <w:r>
        <w:rPr>
          <w:sz w:val="20"/>
        </w:rPr>
        <w:t xml:space="preserve">При формировании сводки предложений разработчик формулирует комментарии понятным и доступным языком, без специальной терминологии. Каждый комментарий начинается со слов "учтено", "не учтено", "частично учтено".</w:t>
      </w:r>
    </w:p>
    <w:p>
      <w:pPr>
        <w:pStyle w:val="0"/>
        <w:spacing w:before="200" w:lineRule="auto"/>
        <w:ind w:firstLine="540"/>
        <w:jc w:val="both"/>
      </w:pPr>
      <w:r>
        <w:rPr>
          <w:sz w:val="20"/>
        </w:rPr>
        <w:t xml:space="preserve">Критерии рассмотрения предложений отражены в таблице 1.</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7257"/>
      </w:tblGrid>
      <w:tr>
        <w:tc>
          <w:tcPr>
            <w:tcW w:w="1814" w:type="dxa"/>
          </w:tcPr>
          <w:p>
            <w:pPr>
              <w:pStyle w:val="0"/>
            </w:pPr>
            <w:r>
              <w:rPr>
                <w:sz w:val="20"/>
              </w:rPr>
              <w:t xml:space="preserve">Статус рассмотрения предложения участника публичных консультаций</w:t>
            </w:r>
          </w:p>
        </w:tc>
        <w:tc>
          <w:tcPr>
            <w:tcW w:w="7257" w:type="dxa"/>
          </w:tcPr>
          <w:p>
            <w:pPr>
              <w:pStyle w:val="0"/>
              <w:jc w:val="center"/>
            </w:pPr>
            <w:r>
              <w:rPr>
                <w:sz w:val="20"/>
              </w:rPr>
              <w:t xml:space="preserve">Критерии рассмотрения предложения</w:t>
            </w:r>
          </w:p>
        </w:tc>
      </w:tr>
      <w:tr>
        <w:tc>
          <w:tcPr>
            <w:tcW w:w="1814" w:type="dxa"/>
          </w:tcPr>
          <w:p>
            <w:pPr>
              <w:pStyle w:val="0"/>
            </w:pPr>
            <w:r>
              <w:rPr>
                <w:sz w:val="20"/>
              </w:rPr>
              <w:t xml:space="preserve">"Учтено"</w:t>
            </w:r>
          </w:p>
        </w:tc>
        <w:tc>
          <w:tcPr>
            <w:tcW w:w="7257" w:type="dxa"/>
          </w:tcPr>
          <w:p>
            <w:pPr>
              <w:pStyle w:val="0"/>
            </w:pPr>
            <w:r>
              <w:rPr>
                <w:sz w:val="20"/>
              </w:rPr>
              <w:t xml:space="preserve">Доводы, изложенные участником публичных консультаций, принимаются и учитываются при доработке проекта акта, либо доводы, изложенные участником публичных консультаций, направлены на поддержку проекта акта</w:t>
            </w:r>
          </w:p>
        </w:tc>
      </w:tr>
      <w:tr>
        <w:tc>
          <w:tcPr>
            <w:tcW w:w="1814" w:type="dxa"/>
          </w:tcPr>
          <w:p>
            <w:pPr>
              <w:pStyle w:val="0"/>
            </w:pPr>
            <w:r>
              <w:rPr>
                <w:sz w:val="20"/>
              </w:rPr>
              <w:t xml:space="preserve">"Не учтено"</w:t>
            </w:r>
          </w:p>
        </w:tc>
        <w:tc>
          <w:tcPr>
            <w:tcW w:w="7257" w:type="dxa"/>
          </w:tcPr>
          <w:p>
            <w:pPr>
              <w:pStyle w:val="0"/>
            </w:pPr>
            <w:r>
              <w:rPr>
                <w:sz w:val="20"/>
              </w:rPr>
              <w:t xml:space="preserve">Доводы, изложенные участником публичных консультаций:</w:t>
            </w:r>
          </w:p>
          <w:p>
            <w:pPr>
              <w:pStyle w:val="0"/>
            </w:pPr>
            <w:r>
              <w:rPr>
                <w:sz w:val="20"/>
              </w:rPr>
              <w:t xml:space="preserve">- не соответствуют законодательству (указать норму), вследствие чего их практическая реализация невозможна, экономически неэффективна (нецелесообразна);</w:t>
            </w:r>
          </w:p>
          <w:p>
            <w:pPr>
              <w:pStyle w:val="0"/>
            </w:pPr>
            <w:r>
              <w:rPr>
                <w:sz w:val="20"/>
              </w:rPr>
              <w:t xml:space="preserve">- не исполнимы в текущих условиях или отсутствуют организационно-технические возможности программного обеспечения;</w:t>
            </w:r>
          </w:p>
          <w:p>
            <w:pPr>
              <w:pStyle w:val="0"/>
            </w:pPr>
            <w:r>
              <w:rPr>
                <w:sz w:val="20"/>
              </w:rPr>
              <w:t xml:space="preserve">- содержат недопустимые высказывания</w:t>
            </w:r>
          </w:p>
        </w:tc>
      </w:tr>
      <w:tr>
        <w:tc>
          <w:tcPr>
            <w:tcW w:w="1814" w:type="dxa"/>
          </w:tcPr>
          <w:p>
            <w:pPr>
              <w:pStyle w:val="0"/>
            </w:pPr>
            <w:r>
              <w:rPr>
                <w:sz w:val="20"/>
              </w:rPr>
              <w:t xml:space="preserve">"Частично учтено"</w:t>
            </w:r>
          </w:p>
        </w:tc>
        <w:tc>
          <w:tcPr>
            <w:tcW w:w="7257" w:type="dxa"/>
          </w:tcPr>
          <w:p>
            <w:pPr>
              <w:pStyle w:val="0"/>
            </w:pPr>
            <w:r>
              <w:rPr>
                <w:sz w:val="20"/>
              </w:rPr>
              <w:t xml:space="preserve">Доводы, изложенные участником публичных консультаций, частично учитываются при доработке проекта акта либо не касаются предмета регулирования проекта (в данном случае разработчику предлагается сделать комментарий о том, что данные предложения будут рассмотрены на дополнительных публичных консультациях в формате рабочих совещаний)</w:t>
            </w:r>
          </w:p>
        </w:tc>
      </w:tr>
    </w:tbl>
    <w:p>
      <w:pPr>
        <w:pStyle w:val="0"/>
        <w:jc w:val="both"/>
      </w:pPr>
      <w:r>
        <w:rPr>
          <w:sz w:val="20"/>
        </w:rPr>
      </w:r>
    </w:p>
    <w:p>
      <w:pPr>
        <w:pStyle w:val="0"/>
        <w:ind w:firstLine="540"/>
        <w:jc w:val="both"/>
      </w:pPr>
      <w:r>
        <w:rPr>
          <w:sz w:val="20"/>
        </w:rPr>
        <w:t xml:space="preserve">Для составления заключения об оценке регулирующего воздействия проекта нормативного правового акта Свердловской области со средней и высокой степенью регулирующего воздействия (далее - заключение для проектов актов со средней и высокой степенью ОРВ) по разделам 1 - 16 необходимо заполнять в соответствии с рекомендациями, изложенными в </w:t>
      </w:r>
      <w:hyperlink w:history="0" w:anchor="P172" w:tooltip="1) в разделе 1 &quot;Вид, наименование и планируемый срок вступления в силу нормативного правового акта&quot; уведомления для проектов актов средней и высокой степени ОРВ указывается полное наименование проекта акта, планируемый срок вступления в силу данного проекта акта с учетом времени, затраченного на проведение процедуры ОРВ;">
        <w:r>
          <w:rPr>
            <w:sz w:val="20"/>
            <w:color w:val="0000ff"/>
          </w:rPr>
          <w:t xml:space="preserve">подпунктах 1</w:t>
        </w:r>
      </w:hyperlink>
      <w:r>
        <w:rPr>
          <w:sz w:val="20"/>
        </w:rPr>
        <w:t xml:space="preserve"> - </w:t>
      </w:r>
      <w:hyperlink w:history="0" w:anchor="P303" w:tooltip="16) в разделе 16 &quot;Индикативные показатели, достижения цели регулирования, сроки их достижения&quot; уведомления для проектов актов средней и высокой степени ОРВ указываются количественно измеримые показатели (индикаторы), которые характеризуют достижение целей регулирования, а также их прогнозные целевые значения со сроками их достижения. Показатели должны быть указаны по каждой цели.">
        <w:r>
          <w:rPr>
            <w:sz w:val="20"/>
            <w:color w:val="0000ff"/>
          </w:rPr>
          <w:t xml:space="preserve">16 пункта 11</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составления заключения об оценке регулирующего воздействия проекта нормативного правового акта Свердловской области с низкой степенью регулирующего воздействия (далее - заключение для проектов актов с низкой степенью ОРВ) по разделам 1 - 12 необходимо заполнять в соответствии с рекомендациями, изложенными в </w:t>
      </w:r>
      <w:hyperlink w:history="0" w:anchor="P311" w:tooltip="12. Информация, содержащаяся в уведомлении о проведении публичных консультаций по проекту нормативного правового акта Свердловской области с низкой степенью регулирующего воздействия (далее - уведомление для проектов актов с низкой степенью ОРВ):">
        <w:r>
          <w:rPr>
            <w:sz w:val="20"/>
            <w:color w:val="0000ff"/>
          </w:rPr>
          <w:t xml:space="preserve">пункте 12</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составления заключения об оценке регулирующего воздействия проекта нормативного правового акта Свердловской области, затрагивающего вопросы осуществления предпринимательской и иной экономической деятельности в сфере предоставления мер государственной поддержки (далее - заключение для проектов актов о мерах государственной поддержки) по разделам 1 - 7 необходимо заполнять в соответствии с рекомендациями, изложенными в </w:t>
      </w:r>
      <w:hyperlink w:history="0" w:anchor="P316" w:tooltip="13. Информация, содержащаяся в уведомлении о проведении публичных консультаций по проекту нормативного правового акта Свердловской области, затрагивающего вопросы осуществления предпринимательской и иной экономической деятельности в сфере предоставления мер государственной поддержки (далее - уведомление для проектов актов о мерах государственной поддержки):">
        <w:r>
          <w:rPr>
            <w:sz w:val="20"/>
            <w:color w:val="0000ff"/>
          </w:rPr>
          <w:t xml:space="preserve">пункте 13</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составления проекта заключения об оценке регулирующего воздействия проекта нормативного правового акта Свердловской области без стадии публичных консультаций (далее - заключение без ПК) по разделам 1 - 7 необходимо заполнять в соответствии с рекомендациями, изложенными в пункте 12 настоящих методических рекомендаций.</w:t>
      </w:r>
    </w:p>
    <w:p>
      <w:pPr>
        <w:pStyle w:val="0"/>
        <w:jc w:val="both"/>
      </w:pPr>
      <w:r>
        <w:rPr>
          <w:sz w:val="20"/>
        </w:rPr>
        <w:t xml:space="preserve">(п. 16 в ред. </w:t>
      </w:r>
      <w:hyperlink w:history="0" r:id="rId49"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bookmarkStart w:id="362" w:name="P362"/>
    <w:bookmarkEnd w:id="362"/>
    <w:p>
      <w:pPr>
        <w:pStyle w:val="0"/>
        <w:spacing w:before="200" w:lineRule="auto"/>
        <w:ind w:firstLine="540"/>
        <w:jc w:val="both"/>
      </w:pPr>
      <w:r>
        <w:rPr>
          <w:sz w:val="20"/>
        </w:rPr>
        <w:t xml:space="preserve">17. Информация, содержащаяся в заключении для проектов актов со средней и высокой степенью ОРВ:</w:t>
      </w:r>
    </w:p>
    <w:p>
      <w:pPr>
        <w:pStyle w:val="0"/>
        <w:spacing w:before="200" w:lineRule="auto"/>
        <w:ind w:firstLine="540"/>
        <w:jc w:val="both"/>
      </w:pPr>
      <w:r>
        <w:rPr>
          <w:sz w:val="20"/>
        </w:rPr>
        <w:t xml:space="preserve">1) раздел 17 заключения для проектов актов со средней и высокой степенью ОРВ "Сведения о размещении </w:t>
      </w:r>
      <w:hyperlink w:history="0" w:anchor="P850" w:tooltip="УВЕДОМЛЕНИЕ">
        <w:r>
          <w:rPr>
            <w:sz w:val="20"/>
            <w:color w:val="0000ff"/>
          </w:rPr>
          <w:t xml:space="preserve">уведомления</w:t>
        </w:r>
      </w:hyperlink>
      <w:r>
        <w:rPr>
          <w:sz w:val="20"/>
        </w:rPr>
        <w:t xml:space="preserve"> о подготовке проекта акта" заполняется в случае проведения предварительной оценки регулирующего воздействия в соответствии с </w:t>
      </w:r>
      <w:hyperlink w:history="0" r:id="rId50"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главой 4</w:t>
        </w:r>
      </w:hyperlink>
      <w:r>
        <w:rPr>
          <w:sz w:val="20"/>
        </w:rPr>
        <w:t xml:space="preserve"> Порядка проведения ОРВ (приложение N 3).</w:t>
      </w:r>
    </w:p>
    <w:p>
      <w:pPr>
        <w:pStyle w:val="0"/>
        <w:jc w:val="both"/>
      </w:pPr>
      <w:r>
        <w:rPr>
          <w:sz w:val="20"/>
        </w:rPr>
        <w:t xml:space="preserve">(в ред. </w:t>
      </w:r>
      <w:hyperlink w:history="0" r:id="rId51"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Предварительная ОРВ является обязательной при подготовке проектов актов Правительства Свердловской области или исполнительных органов государственной власти, имеющих высокую степень регулирующего воздействия.</w:t>
      </w:r>
    </w:p>
    <w:p>
      <w:pPr>
        <w:pStyle w:val="0"/>
        <w:spacing w:before="200" w:lineRule="auto"/>
        <w:ind w:firstLine="540"/>
        <w:jc w:val="both"/>
      </w:pPr>
      <w:r>
        <w:rPr>
          <w:sz w:val="20"/>
        </w:rPr>
        <w:t xml:space="preserve">Для иных проектов актов Правительства Свердловской области или исполнительных органов государственной власти предварительная ОРВ проводится по решению руководителя (заместителя руководителя) профильного органа.</w:t>
      </w:r>
    </w:p>
    <w:p>
      <w:pPr>
        <w:pStyle w:val="0"/>
        <w:spacing w:before="200" w:lineRule="auto"/>
        <w:ind w:firstLine="540"/>
        <w:jc w:val="both"/>
      </w:pPr>
      <w:r>
        <w:rPr>
          <w:sz w:val="20"/>
        </w:rPr>
        <w:t xml:space="preserve">В пункте 17.1 раздела 17 "Сведения об организациях, извещенных о подготовке проекта акта: организации, заключившие соглашение о сотрудничестве при проведении оценки регулирующего воздействия" заключения для проектов актов со средней и высокой степенью ОРВ:</w:t>
      </w:r>
    </w:p>
    <w:p>
      <w:pPr>
        <w:pStyle w:val="0"/>
        <w:spacing w:before="200" w:lineRule="auto"/>
        <w:ind w:firstLine="540"/>
        <w:jc w:val="both"/>
      </w:pPr>
      <w:r>
        <w:rPr>
          <w:sz w:val="20"/>
        </w:rPr>
        <w:t xml:space="preserve">- указываются организации, заключившие соглашение о взаимодействии при проведении ОРВ, извещаются и указываются в обязательном порядке;</w:t>
      </w:r>
    </w:p>
    <w:p>
      <w:pPr>
        <w:pStyle w:val="0"/>
        <w:spacing w:before="200" w:lineRule="auto"/>
        <w:ind w:firstLine="540"/>
        <w:jc w:val="both"/>
      </w:pPr>
      <w:r>
        <w:rPr>
          <w:sz w:val="20"/>
        </w:rPr>
        <w:t xml:space="preserve">- указываются извещаемые уполномоченным органом, а также иные организации - потенциальные участники отношений, вводимых новым регулированием, извещаемые профильным органом.</w:t>
      </w:r>
    </w:p>
    <w:p>
      <w:pPr>
        <w:pStyle w:val="0"/>
        <w:spacing w:before="200" w:lineRule="auto"/>
        <w:ind w:firstLine="540"/>
        <w:jc w:val="both"/>
      </w:pPr>
      <w:r>
        <w:rPr>
          <w:sz w:val="20"/>
        </w:rPr>
        <w:t xml:space="preserve">В пункте 17.2 раздела 17 "Статистика предложений, поступивших по итогам публичных консультаций о подготовке проекта акта" заключения для проектов актов со средней и высокой степенью ОРВ указываются данные о количестве поступивших предложений, из них мнений о поддержке проекта акта, а также информация об общем количестве учтенных предложений.</w:t>
      </w:r>
    </w:p>
    <w:p>
      <w:pPr>
        <w:pStyle w:val="0"/>
        <w:spacing w:before="200" w:lineRule="auto"/>
        <w:ind w:firstLine="540"/>
        <w:jc w:val="both"/>
      </w:pPr>
      <w:r>
        <w:rPr>
          <w:sz w:val="20"/>
        </w:rPr>
        <w:t xml:space="preserve">В пункте 17.3 раздела 17 "Иные сведения о проведении публичных консультаций" заключения для проектов актов со средней и высокой степенью ОРВ указываются сведения об иных формах сбора предложений помимо проведения публичных консультаций на официальном сайте;</w:t>
      </w:r>
    </w:p>
    <w:p>
      <w:pPr>
        <w:pStyle w:val="0"/>
        <w:jc w:val="both"/>
      </w:pPr>
      <w:r>
        <w:rPr>
          <w:sz w:val="20"/>
        </w:rPr>
        <w:t xml:space="preserve">(в ред. </w:t>
      </w:r>
      <w:hyperlink w:history="0" r:id="rId52"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2) заполнение раздела 18 "Сведения о проведении публичных консультаций" заключения для проектов актов со средней и высокой степенью ОРВ проводится по итогам проведения публичных консультаций по проекту акта. В нем указываются общее количество учтенных, частично учтенных и неучтенных предложений.</w:t>
      </w:r>
    </w:p>
    <w:p>
      <w:pPr>
        <w:pStyle w:val="0"/>
        <w:spacing w:before="200" w:lineRule="auto"/>
        <w:ind w:firstLine="540"/>
        <w:jc w:val="both"/>
      </w:pPr>
      <w:r>
        <w:rPr>
          <w:sz w:val="20"/>
        </w:rPr>
        <w:t xml:space="preserve">Указание информации в пункте 18.1 раздела 18 "Сведения об организациях, извещенных о проведении публичных консультаций: организации, заключившие соглашение о сотрудничестве при проведении оценки регулирующего воздействия" производятся аналогично разделу 17.1 заключения.</w:t>
      </w:r>
    </w:p>
    <w:p>
      <w:pPr>
        <w:pStyle w:val="0"/>
        <w:spacing w:before="200" w:lineRule="auto"/>
        <w:ind w:firstLine="540"/>
        <w:jc w:val="both"/>
      </w:pPr>
      <w:r>
        <w:rPr>
          <w:sz w:val="20"/>
        </w:rPr>
        <w:t xml:space="preserve">В пункте 18.2 раздела 18 "Статистика предложений, поступивших по итогам публичных консультаций" заключения для проектов актов со средней и высокой степенью ОРВ указываются данные о количестве поступивших предложений по проекту акта, из них мнений о поддержке проекта акта, а также информация о количестве учтенных предложений и количество частично учтенных предложений, а также количество неучтенных предложений и общее количество поступивших предложений по сопроводительным документам из них учтено, не учтено. При этом предложения сортируются на две группы: непосредственно по проекту акта и по сопроводительным документам, подготовленным в рамках ОРВ (уведомлению, пояснительной записке и прочим).</w:t>
      </w:r>
    </w:p>
    <w:p>
      <w:pPr>
        <w:pStyle w:val="0"/>
        <w:spacing w:before="200" w:lineRule="auto"/>
        <w:ind w:firstLine="540"/>
        <w:jc w:val="both"/>
      </w:pPr>
      <w:r>
        <w:rPr>
          <w:sz w:val="20"/>
        </w:rPr>
        <w:t xml:space="preserve">В пункте 18.3 раздела 18 "Устраненные в ходе подготовки и обсуждения проекта акта административные барьеры и избыточные издержки" заключения для проектов актов со средней и высокой степенью ОРВ указываются, какие нормы проекта акта были изменены по итогам оценки регулирующего воздействия, в том числе публичных консультаций, и каким образом это способствовало снижению избыточных административных барьеров и издержек;</w:t>
      </w:r>
    </w:p>
    <w:bookmarkStart w:id="377" w:name="P377"/>
    <w:bookmarkEnd w:id="377"/>
    <w:p>
      <w:pPr>
        <w:pStyle w:val="0"/>
        <w:spacing w:before="200" w:lineRule="auto"/>
        <w:ind w:firstLine="540"/>
        <w:jc w:val="both"/>
      </w:pPr>
      <w:r>
        <w:rPr>
          <w:sz w:val="20"/>
        </w:rPr>
        <w:t xml:space="preserve">3) в разделе 19 "Выводы о целесообразности и оптимальности предлагаемого регулирования" заключения для проектов актов со средней и высокой степенью ОРВ профильный орган указывает любые дополнительные сведения, которые, по его мнению, подтверждают обоснованность предлагаемого регулирования, а также указывает о наличии либо об отсутствии в проекте акта положений, вводящих избыточные обязанности, запреты и ограничения для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а также бюджетов всех уровней бюджетной системы Российской Федерации, со ссылками на источники информации к методы расчетов (если применимо).</w:t>
      </w:r>
    </w:p>
    <w:p>
      <w:pPr>
        <w:pStyle w:val="0"/>
        <w:spacing w:before="200" w:lineRule="auto"/>
        <w:ind w:firstLine="540"/>
        <w:jc w:val="both"/>
      </w:pPr>
      <w:r>
        <w:rPr>
          <w:sz w:val="20"/>
        </w:rPr>
        <w:t xml:space="preserve">18. Для составления заключения для проектов актов с низкой степенью ОРВ по разделам 13 - 15 необходимо заполнять в соответствии с рекомендациями, изложенными в </w:t>
      </w:r>
      <w:hyperlink w:history="0" w:anchor="P362" w:tooltip="17. Информация, содержащаяся в заключении для проектов актов со средней и высокой степенью ОРВ:">
        <w:r>
          <w:rPr>
            <w:sz w:val="20"/>
            <w:color w:val="0000ff"/>
          </w:rPr>
          <w:t xml:space="preserve">пункте 17</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составления заключения для проектов актов о мерах государственной поддержки по разделам 8 - 10 необходимо заполнять в соответствии с рекомендациями, изложенными в </w:t>
      </w:r>
      <w:hyperlink w:history="0" w:anchor="P362" w:tooltip="17. Информация, содержащаяся в заключении для проектов актов со средней и высокой степенью ОРВ:">
        <w:r>
          <w:rPr>
            <w:sz w:val="20"/>
            <w:color w:val="0000ff"/>
          </w:rPr>
          <w:t xml:space="preserve">пункте 17</w:t>
        </w:r>
      </w:hyperlink>
      <w:r>
        <w:rPr>
          <w:sz w:val="20"/>
        </w:rPr>
        <w:t xml:space="preserve"> настоящих методических рекомендаций.</w:t>
      </w:r>
    </w:p>
    <w:p>
      <w:pPr>
        <w:pStyle w:val="0"/>
        <w:spacing w:before="200" w:lineRule="auto"/>
        <w:ind w:firstLine="540"/>
        <w:jc w:val="both"/>
      </w:pPr>
      <w:r>
        <w:rPr>
          <w:sz w:val="20"/>
        </w:rPr>
        <w:t xml:space="preserve">Для составления заключения для ПК по разделу 8 необходимо заполнить в соответствии с рекомендациями, изложенными в </w:t>
      </w:r>
      <w:hyperlink w:history="0" w:anchor="P377" w:tooltip="3) в разделе 19 &quot;Выводы о целесообразности и оптимальности предлагаемого регулирования&quot; заключения для проектов актов со средней и высокой степенью ОРВ профильный орган указывает любые дополнительные сведения, которые, по его мнению, подтверждают обоснованность предлагаемого регулирования, а также указывает о наличии либо об отсутствии в проекте акта положений, вводящих избыточные обязанности, запреты и ограничения для предпринимательской и иной экономической деятельности или способствующих их введению, ...">
        <w:r>
          <w:rPr>
            <w:sz w:val="20"/>
            <w:color w:val="0000ff"/>
          </w:rPr>
          <w:t xml:space="preserve">подпункте 3 пункта 17</w:t>
        </w:r>
      </w:hyperlink>
      <w:r>
        <w:rPr>
          <w:sz w:val="20"/>
        </w:rPr>
        <w:t xml:space="preserve"> настоящих методических рекомендаций.</w:t>
      </w:r>
    </w:p>
    <w:p>
      <w:pPr>
        <w:pStyle w:val="0"/>
        <w:spacing w:before="200" w:lineRule="auto"/>
        <w:ind w:firstLine="540"/>
        <w:jc w:val="both"/>
      </w:pPr>
      <w:r>
        <w:rPr>
          <w:sz w:val="20"/>
        </w:rPr>
        <w:t xml:space="preserve">19. В случае наличия разногласий разработчика с участниками публичных консультаций они устраняются на согласительных совещаниях, проводимых разработчиком, в сроки, установленные Порядком проведения ОРВ.</w:t>
      </w:r>
    </w:p>
    <w:p>
      <w:pPr>
        <w:pStyle w:val="0"/>
        <w:jc w:val="both"/>
      </w:pPr>
      <w:r>
        <w:rPr>
          <w:sz w:val="20"/>
        </w:rPr>
        <w:t xml:space="preserve">(в ред. </w:t>
      </w:r>
      <w:hyperlink w:history="0" r:id="rId53"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bookmarkStart w:id="383" w:name="P383"/>
    <w:bookmarkEnd w:id="383"/>
    <w:p>
      <w:pPr>
        <w:pStyle w:val="0"/>
        <w:spacing w:before="200" w:lineRule="auto"/>
        <w:ind w:firstLine="540"/>
        <w:jc w:val="both"/>
      </w:pPr>
      <w:r>
        <w:rPr>
          <w:sz w:val="20"/>
        </w:rPr>
        <w:t xml:space="preserve">20. При формировании сводки предложений профильный орган выгружает ее средствами официального сайта и дорабатывает путем расшифровки в полноценные предложения ответов участников публичных консультаций в автоматической опросной форме, объединений ответов, направленных одним и тем же участником публичных консультаций, схожих по существу (например, все ответы указывают на поддержку проекта акта участником публичных консультаций), а также включения предложений, полученных иным путем (например, в рамках очных обсуждений проекта акта).</w:t>
      </w:r>
    </w:p>
    <w:p>
      <w:pPr>
        <w:pStyle w:val="0"/>
        <w:spacing w:before="200" w:lineRule="auto"/>
        <w:ind w:firstLine="540"/>
        <w:jc w:val="both"/>
      </w:pPr>
      <w:r>
        <w:rPr>
          <w:sz w:val="20"/>
        </w:rPr>
        <w:t xml:space="preserve">21. По результатам проведения оценки регулирующего воздействия разработчик может принять мотивированное решение об отказе в подготовке проекта акта или его доработке в случае выявления в проекте акта положений:</w:t>
      </w:r>
    </w:p>
    <w:p>
      <w:pPr>
        <w:pStyle w:val="0"/>
        <w:spacing w:before="200" w:lineRule="auto"/>
        <w:ind w:firstLine="540"/>
        <w:jc w:val="both"/>
      </w:pPr>
      <w:r>
        <w:rPr>
          <w:sz w:val="20"/>
        </w:rPr>
        <w:t xml:space="preserve">1) вводящих избыточные административные и иные ограничения и обязанности для субъектов предпринимательской и инвестиционной деятельности;</w:t>
      </w:r>
    </w:p>
    <w:p>
      <w:pPr>
        <w:pStyle w:val="0"/>
        <w:spacing w:before="200" w:lineRule="auto"/>
        <w:ind w:firstLine="540"/>
        <w:jc w:val="both"/>
      </w:pPr>
      <w:r>
        <w:rPr>
          <w:sz w:val="20"/>
        </w:rPr>
        <w:t xml:space="preserve">2) способствующих ограничению конкуренции или приводящих 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w:t>
      </w:r>
    </w:p>
    <w:p>
      <w:pPr>
        <w:pStyle w:val="0"/>
        <w:spacing w:before="200" w:lineRule="auto"/>
        <w:ind w:firstLine="540"/>
        <w:jc w:val="both"/>
      </w:pPr>
      <w:r>
        <w:rPr>
          <w:sz w:val="20"/>
        </w:rPr>
        <w:t xml:space="preserve">3) влекущих необоснованные расходы субъектов предпринимательской и иной экономической деятельности или консолидированного бюджета Свердловской области;</w:t>
      </w:r>
    </w:p>
    <w:p>
      <w:pPr>
        <w:pStyle w:val="0"/>
        <w:spacing w:before="200" w:lineRule="auto"/>
        <w:ind w:firstLine="540"/>
        <w:jc w:val="both"/>
      </w:pPr>
      <w:r>
        <w:rPr>
          <w:sz w:val="20"/>
        </w:rPr>
        <w:t xml:space="preserve">4) а также невозможности реализации нового регулирования ввиду отсутствия необходимых организационных или технических условий у органов государственной власти Свердловской области и (или) органов местного самоуправления муниципальных образований, расположенных на территории Свердловской области, а также сложившегося в Свердловской области уровня развития технологий, инфраструктуры, рынков товаров и услуг.</w:t>
      </w:r>
    </w:p>
    <w:p>
      <w:pPr>
        <w:pStyle w:val="0"/>
        <w:spacing w:before="200" w:lineRule="auto"/>
        <w:ind w:firstLine="540"/>
        <w:jc w:val="both"/>
      </w:pPr>
      <w:r>
        <w:rPr>
          <w:sz w:val="20"/>
        </w:rPr>
        <w:t xml:space="preserve">22. В случае принятия решения об отказе в подготовке проекта акта разработчик направляет в профильный орган соответствующую информацию для размещения на официальном сайте и извещения о принятом решении организаций, ранее уведомленных о начале публичных консультаций, в сроки, установленные Порядком проведения ОРВ.</w:t>
      </w:r>
    </w:p>
    <w:p>
      <w:pPr>
        <w:pStyle w:val="0"/>
        <w:jc w:val="both"/>
      </w:pPr>
      <w:r>
        <w:rPr>
          <w:sz w:val="20"/>
        </w:rPr>
        <w:t xml:space="preserve">(в ред. </w:t>
      </w:r>
      <w:hyperlink w:history="0" r:id="rId54"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23. Подготовленная разработчиком итоговая редакция проекта акта размещается на официальном сайте в сроки, установленные Порядком проведения ОРВ.</w:t>
      </w:r>
    </w:p>
    <w:p>
      <w:pPr>
        <w:pStyle w:val="0"/>
        <w:jc w:val="both"/>
      </w:pPr>
      <w:r>
        <w:rPr>
          <w:sz w:val="20"/>
        </w:rPr>
        <w:t xml:space="preserve">(в ред. </w:t>
      </w:r>
      <w:hyperlink w:history="0" r:id="rId55"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Профильный орган размещает на официальном сайте утвержденную редакцию проекта акта с реквизитами (датой принятия и регистрационным номером) в течение 20 рабочих дней со дня принятия проекта акта.</w:t>
      </w:r>
    </w:p>
    <w:p>
      <w:pPr>
        <w:pStyle w:val="0"/>
        <w:jc w:val="both"/>
      </w:pPr>
      <w:r>
        <w:rPr>
          <w:sz w:val="20"/>
        </w:rPr>
        <w:t xml:space="preserve">(в ред. </w:t>
      </w:r>
      <w:hyperlink w:history="0" r:id="rId56"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методическим рекомендациям</w:t>
      </w:r>
    </w:p>
    <w:p>
      <w:pPr>
        <w:pStyle w:val="0"/>
        <w:jc w:val="right"/>
      </w:pPr>
      <w:r>
        <w:rPr>
          <w:sz w:val="20"/>
        </w:rPr>
        <w:t xml:space="preserve">по составлению уведомления о проведении</w:t>
      </w:r>
    </w:p>
    <w:p>
      <w:pPr>
        <w:pStyle w:val="0"/>
        <w:jc w:val="right"/>
      </w:pPr>
      <w:r>
        <w:rPr>
          <w:sz w:val="20"/>
        </w:rPr>
        <w:t xml:space="preserve">публичных консультаций и заключения</w:t>
      </w:r>
    </w:p>
    <w:p>
      <w:pPr>
        <w:pStyle w:val="0"/>
        <w:jc w:val="right"/>
      </w:pPr>
      <w:r>
        <w:rPr>
          <w:sz w:val="20"/>
        </w:rPr>
        <w:t xml:space="preserve">об оценке регулирующего воздействия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7"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color w:val="392c69"/>
              </w:rPr>
              <w:t xml:space="preserve"> Минэкономики и терразвития СО от 28.10.2024 N 14-НПА)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both"/>
      </w:pPr>
      <w:r>
        <w:rPr>
          <w:sz w:val="20"/>
        </w:rPr>
        <w:t xml:space="preserve">Форма</w:t>
      </w:r>
    </w:p>
    <w:p>
      <w:pPr>
        <w:pStyle w:val="0"/>
        <w:jc w:val="both"/>
      </w:pPr>
      <w:r>
        <w:rPr>
          <w:sz w:val="20"/>
        </w:rPr>
      </w:r>
    </w:p>
    <w:bookmarkStart w:id="410" w:name="P410"/>
    <w:bookmarkEnd w:id="410"/>
    <w:p>
      <w:pPr>
        <w:pStyle w:val="0"/>
        <w:jc w:val="center"/>
      </w:pPr>
      <w:r>
        <w:rPr>
          <w:sz w:val="20"/>
        </w:rPr>
        <w:t xml:space="preserve">СВОДКА</w:t>
      </w:r>
    </w:p>
    <w:p>
      <w:pPr>
        <w:pStyle w:val="0"/>
        <w:jc w:val="center"/>
      </w:pPr>
      <w:r>
        <w:rPr>
          <w:sz w:val="20"/>
        </w:rPr>
        <w:t xml:space="preserve">предложений по итогам проведения публичных консультаций</w:t>
      </w:r>
    </w:p>
    <w:p>
      <w:pPr>
        <w:pStyle w:val="0"/>
        <w:jc w:val="center"/>
      </w:pPr>
      <w:r>
        <w:rPr>
          <w:sz w:val="20"/>
        </w:rPr>
        <w:t xml:space="preserve">по проекту нормативного правового акта</w:t>
      </w:r>
    </w:p>
    <w:p>
      <w:pPr>
        <w:pStyle w:val="0"/>
        <w:jc w:val="center"/>
      </w:pPr>
      <w:r>
        <w:rPr>
          <w:sz w:val="20"/>
        </w:rPr>
        <w:t xml:space="preserve">"..."</w:t>
      </w:r>
    </w:p>
    <w:p>
      <w:pPr>
        <w:pStyle w:val="0"/>
        <w:jc w:val="both"/>
      </w:pPr>
      <w:r>
        <w:rPr>
          <w:sz w:val="20"/>
        </w:rPr>
      </w:r>
    </w:p>
    <w:p>
      <w:pPr>
        <w:pStyle w:val="0"/>
        <w:jc w:val="both"/>
      </w:pPr>
      <w:r>
        <w:rPr>
          <w:sz w:val="20"/>
        </w:rPr>
        <w:t xml:space="preserve">ID проекта:</w:t>
      </w:r>
    </w:p>
    <w:p>
      <w:pPr>
        <w:pStyle w:val="0"/>
        <w:spacing w:before="200" w:lineRule="auto"/>
        <w:jc w:val="both"/>
      </w:pPr>
      <w:r>
        <w:rPr>
          <w:sz w:val="20"/>
        </w:rPr>
        <w:t xml:space="preserve">Ссылка на проект:</w:t>
      </w:r>
    </w:p>
    <w:p>
      <w:pPr>
        <w:pStyle w:val="0"/>
        <w:spacing w:before="200" w:lineRule="auto"/>
        <w:jc w:val="both"/>
      </w:pPr>
      <w:r>
        <w:rPr>
          <w:sz w:val="20"/>
        </w:rPr>
        <w:t xml:space="preserve">Дата проведения публичного обсуждения:</w:t>
      </w:r>
    </w:p>
    <w:p>
      <w:pPr>
        <w:pStyle w:val="0"/>
        <w:spacing w:before="200" w:lineRule="auto"/>
        <w:jc w:val="both"/>
      </w:pPr>
      <w:r>
        <w:rPr>
          <w:sz w:val="20"/>
        </w:rPr>
        <w:t xml:space="preserve">Количество экспертов, участвовавших в обсуждении:</w:t>
      </w:r>
    </w:p>
    <w:p>
      <w:pPr>
        <w:pStyle w:val="0"/>
        <w:spacing w:before="200" w:lineRule="auto"/>
        <w:jc w:val="both"/>
      </w:pPr>
      <w:r>
        <w:rPr>
          <w:sz w:val="20"/>
        </w:rPr>
        <w:t xml:space="preserve">Отчет сгенерирован: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78"/>
        <w:gridCol w:w="2891"/>
        <w:gridCol w:w="2835"/>
      </w:tblGrid>
      <w:tr>
        <w:tc>
          <w:tcPr>
            <w:tcW w:w="567" w:type="dxa"/>
          </w:tcPr>
          <w:p>
            <w:pPr>
              <w:pStyle w:val="0"/>
              <w:jc w:val="center"/>
            </w:pPr>
            <w:r>
              <w:rPr>
                <w:sz w:val="20"/>
              </w:rPr>
              <w:t xml:space="preserve">N</w:t>
            </w:r>
          </w:p>
        </w:tc>
        <w:tc>
          <w:tcPr>
            <w:tcW w:w="2778" w:type="dxa"/>
          </w:tcPr>
          <w:p>
            <w:pPr>
              <w:pStyle w:val="0"/>
              <w:jc w:val="center"/>
            </w:pPr>
            <w:r>
              <w:rPr>
                <w:sz w:val="20"/>
              </w:rPr>
              <w:t xml:space="preserve">Участник обсуждения</w:t>
            </w:r>
          </w:p>
        </w:tc>
        <w:tc>
          <w:tcPr>
            <w:tcW w:w="2891" w:type="dxa"/>
          </w:tcPr>
          <w:p>
            <w:pPr>
              <w:pStyle w:val="0"/>
              <w:jc w:val="center"/>
            </w:pPr>
            <w:r>
              <w:rPr>
                <w:sz w:val="20"/>
              </w:rPr>
              <w:t xml:space="preserve">Позиция участника обсуждения</w:t>
            </w:r>
          </w:p>
        </w:tc>
        <w:tc>
          <w:tcPr>
            <w:tcW w:w="2835" w:type="dxa"/>
          </w:tcPr>
          <w:p>
            <w:pPr>
              <w:pStyle w:val="0"/>
              <w:jc w:val="center"/>
            </w:pPr>
            <w:r>
              <w:rPr>
                <w:sz w:val="20"/>
              </w:rPr>
              <w:t xml:space="preserve">Комментарии разработчика</w:t>
            </w:r>
          </w:p>
        </w:tc>
      </w:tr>
      <w:tr>
        <w:tc>
          <w:tcPr>
            <w:gridSpan w:val="4"/>
            <w:tcW w:w="9071" w:type="dxa"/>
          </w:tcPr>
          <w:p>
            <w:pPr>
              <w:pStyle w:val="0"/>
              <w:jc w:val="center"/>
            </w:pPr>
            <w:r>
              <w:rPr>
                <w:sz w:val="20"/>
              </w:rPr>
              <w:t xml:space="preserve">Раздел 1. Сведения о поддержке проекта акта</w:t>
            </w:r>
          </w:p>
        </w:tc>
      </w:tr>
      <w:tr>
        <w:tc>
          <w:tcPr>
            <w:tcW w:w="567" w:type="dxa"/>
          </w:tcPr>
          <w:p>
            <w:pPr>
              <w:pStyle w:val="0"/>
            </w:pPr>
            <w:r>
              <w:rPr>
                <w:sz w:val="20"/>
              </w:rPr>
              <w:t xml:space="preserve">1.</w:t>
            </w:r>
          </w:p>
        </w:tc>
        <w:tc>
          <w:tcPr>
            <w:tcW w:w="2778" w:type="dxa"/>
          </w:tcPr>
          <w:p>
            <w:pPr>
              <w:pStyle w:val="0"/>
            </w:pPr>
            <w:r>
              <w:rPr>
                <w:sz w:val="20"/>
              </w:rPr>
            </w:r>
          </w:p>
        </w:tc>
        <w:tc>
          <w:tcPr>
            <w:tcW w:w="2891" w:type="dxa"/>
          </w:tcPr>
          <w:p>
            <w:pPr>
              <w:pStyle w:val="0"/>
            </w:pPr>
            <w:r>
              <w:rPr>
                <w:sz w:val="20"/>
              </w:rPr>
            </w:r>
          </w:p>
        </w:tc>
        <w:tc>
          <w:tcPr>
            <w:tcW w:w="2835" w:type="dxa"/>
          </w:tcPr>
          <w:p>
            <w:pPr>
              <w:pStyle w:val="0"/>
            </w:pPr>
            <w:r>
              <w:rPr>
                <w:sz w:val="20"/>
              </w:rPr>
            </w:r>
          </w:p>
        </w:tc>
      </w:tr>
      <w:tr>
        <w:tc>
          <w:tcPr>
            <w:gridSpan w:val="4"/>
            <w:tcW w:w="9071" w:type="dxa"/>
          </w:tcPr>
          <w:p>
            <w:pPr>
              <w:pStyle w:val="0"/>
              <w:jc w:val="center"/>
            </w:pPr>
            <w:r>
              <w:rPr>
                <w:sz w:val="20"/>
              </w:rPr>
              <w:t xml:space="preserve">Раздел 2. Предложения и замечания по проекту акта</w:t>
            </w:r>
          </w:p>
        </w:tc>
      </w:tr>
      <w:tr>
        <w:tc>
          <w:tcPr>
            <w:tcW w:w="567" w:type="dxa"/>
          </w:tcPr>
          <w:p>
            <w:pPr>
              <w:pStyle w:val="0"/>
            </w:pPr>
            <w:r>
              <w:rPr>
                <w:sz w:val="20"/>
              </w:rPr>
              <w:t xml:space="preserve">1.</w:t>
            </w:r>
          </w:p>
        </w:tc>
        <w:tc>
          <w:tcPr>
            <w:tcW w:w="2778" w:type="dxa"/>
          </w:tcPr>
          <w:p>
            <w:pPr>
              <w:pStyle w:val="0"/>
            </w:pPr>
            <w:r>
              <w:rPr>
                <w:sz w:val="20"/>
              </w:rPr>
            </w:r>
          </w:p>
        </w:tc>
        <w:tc>
          <w:tcPr>
            <w:tcW w:w="2891" w:type="dxa"/>
          </w:tcPr>
          <w:p>
            <w:pPr>
              <w:pStyle w:val="0"/>
            </w:pPr>
            <w:r>
              <w:rPr>
                <w:sz w:val="20"/>
              </w:rPr>
            </w:r>
          </w:p>
        </w:tc>
        <w:tc>
          <w:tcPr>
            <w:tcW w:w="2835" w:type="dxa"/>
          </w:tcPr>
          <w:p>
            <w:pPr>
              <w:pStyle w:val="0"/>
            </w:pPr>
            <w:r>
              <w:rPr>
                <w:sz w:val="20"/>
              </w:rPr>
            </w:r>
          </w:p>
        </w:tc>
      </w:tr>
      <w:tr>
        <w:tc>
          <w:tcPr>
            <w:gridSpan w:val="4"/>
            <w:tcW w:w="9071" w:type="dxa"/>
          </w:tcPr>
          <w:p>
            <w:pPr>
              <w:pStyle w:val="0"/>
              <w:jc w:val="center"/>
            </w:pPr>
            <w:r>
              <w:rPr>
                <w:sz w:val="20"/>
              </w:rPr>
              <w:t xml:space="preserve">Раздел 3. Предложения и замечания по сопроводительным документам</w:t>
            </w:r>
          </w:p>
        </w:tc>
      </w:tr>
      <w:tr>
        <w:tc>
          <w:tcPr>
            <w:tcW w:w="567" w:type="dxa"/>
          </w:tcPr>
          <w:p>
            <w:pPr>
              <w:pStyle w:val="0"/>
            </w:pPr>
            <w:r>
              <w:rPr>
                <w:sz w:val="20"/>
              </w:rPr>
              <w:t xml:space="preserve">1.</w:t>
            </w:r>
          </w:p>
        </w:tc>
        <w:tc>
          <w:tcPr>
            <w:tcW w:w="2778" w:type="dxa"/>
          </w:tcPr>
          <w:p>
            <w:pPr>
              <w:pStyle w:val="0"/>
            </w:pPr>
            <w:r>
              <w:rPr>
                <w:sz w:val="20"/>
              </w:rPr>
            </w:r>
          </w:p>
        </w:tc>
        <w:tc>
          <w:tcPr>
            <w:tcW w:w="2891" w:type="dxa"/>
          </w:tcPr>
          <w:p>
            <w:pPr>
              <w:pStyle w:val="0"/>
            </w:pPr>
            <w:r>
              <w:rPr>
                <w:sz w:val="20"/>
              </w:rPr>
            </w:r>
          </w:p>
        </w:tc>
        <w:tc>
          <w:tcPr>
            <w:tcW w:w="2835" w:type="dxa"/>
          </w:tcPr>
          <w:p>
            <w:pPr>
              <w:pStyle w:val="0"/>
            </w:pPr>
            <w:r>
              <w:rPr>
                <w:sz w:val="20"/>
              </w:rPr>
            </w:r>
          </w:p>
        </w:tc>
      </w:tr>
      <w:tr>
        <w:tc>
          <w:tcPr>
            <w:gridSpan w:val="4"/>
            <w:tcW w:w="9071" w:type="dxa"/>
          </w:tcPr>
          <w:p>
            <w:pPr>
              <w:pStyle w:val="0"/>
              <w:jc w:val="center"/>
            </w:pPr>
            <w:r>
              <w:rPr>
                <w:sz w:val="20"/>
              </w:rPr>
              <w:t xml:space="preserve">Раздел 4. Иные предложения и замечания</w:t>
            </w:r>
          </w:p>
        </w:tc>
      </w:tr>
      <w:tr>
        <w:tc>
          <w:tcPr>
            <w:tcW w:w="567" w:type="dxa"/>
          </w:tcPr>
          <w:p>
            <w:pPr>
              <w:pStyle w:val="0"/>
            </w:pPr>
            <w:r>
              <w:rPr>
                <w:sz w:val="20"/>
              </w:rPr>
              <w:t xml:space="preserve">1.</w:t>
            </w:r>
          </w:p>
        </w:tc>
        <w:tc>
          <w:tcPr>
            <w:tcW w:w="2778" w:type="dxa"/>
          </w:tcPr>
          <w:p>
            <w:pPr>
              <w:pStyle w:val="0"/>
            </w:pPr>
            <w:r>
              <w:rPr>
                <w:sz w:val="20"/>
              </w:rPr>
            </w:r>
          </w:p>
        </w:tc>
        <w:tc>
          <w:tcPr>
            <w:tcW w:w="2891" w:type="dxa"/>
          </w:tcPr>
          <w:p>
            <w:pPr>
              <w:pStyle w:val="0"/>
            </w:pPr>
            <w:r>
              <w:rPr>
                <w:sz w:val="20"/>
              </w:rPr>
            </w:r>
          </w:p>
        </w:tc>
        <w:tc>
          <w:tcPr>
            <w:tcW w:w="2835"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447"/>
        <w:gridCol w:w="624"/>
      </w:tblGrid>
      <w:tr>
        <w:tc>
          <w:tcPr>
            <w:tcW w:w="8447" w:type="dxa"/>
          </w:tcPr>
          <w:p>
            <w:pPr>
              <w:pStyle w:val="0"/>
            </w:pPr>
            <w:r>
              <w:rPr>
                <w:sz w:val="20"/>
              </w:rPr>
              <w:t xml:space="preserve">Общее количество поступивших предложений по проекту акта</w:t>
            </w:r>
          </w:p>
        </w:tc>
        <w:tc>
          <w:tcPr>
            <w:tcW w:w="624" w:type="dxa"/>
          </w:tcPr>
          <w:p>
            <w:pPr>
              <w:pStyle w:val="0"/>
            </w:pPr>
            <w:r>
              <w:rPr>
                <w:sz w:val="20"/>
              </w:rPr>
            </w:r>
          </w:p>
        </w:tc>
      </w:tr>
      <w:tr>
        <w:tc>
          <w:tcPr>
            <w:tcW w:w="8447" w:type="dxa"/>
          </w:tcPr>
          <w:p>
            <w:pPr>
              <w:pStyle w:val="0"/>
            </w:pPr>
            <w:r>
              <w:rPr>
                <w:sz w:val="20"/>
              </w:rPr>
              <w:t xml:space="preserve">Количество учтенных предложений по проекту акта</w:t>
            </w:r>
          </w:p>
        </w:tc>
        <w:tc>
          <w:tcPr>
            <w:tcW w:w="624" w:type="dxa"/>
          </w:tcPr>
          <w:p>
            <w:pPr>
              <w:pStyle w:val="0"/>
            </w:pPr>
            <w:r>
              <w:rPr>
                <w:sz w:val="20"/>
              </w:rPr>
            </w:r>
          </w:p>
        </w:tc>
      </w:tr>
      <w:tr>
        <w:tc>
          <w:tcPr>
            <w:tcW w:w="8447" w:type="dxa"/>
          </w:tcPr>
          <w:p>
            <w:pPr>
              <w:pStyle w:val="0"/>
            </w:pPr>
            <w:r>
              <w:rPr>
                <w:sz w:val="20"/>
              </w:rPr>
              <w:t xml:space="preserve">Количество частично учтенных предложений по проекту акта</w:t>
            </w:r>
          </w:p>
        </w:tc>
        <w:tc>
          <w:tcPr>
            <w:tcW w:w="624" w:type="dxa"/>
          </w:tcPr>
          <w:p>
            <w:pPr>
              <w:pStyle w:val="0"/>
            </w:pPr>
            <w:r>
              <w:rPr>
                <w:sz w:val="20"/>
              </w:rPr>
            </w:r>
          </w:p>
        </w:tc>
      </w:tr>
      <w:tr>
        <w:tc>
          <w:tcPr>
            <w:tcW w:w="8447" w:type="dxa"/>
          </w:tcPr>
          <w:p>
            <w:pPr>
              <w:pStyle w:val="0"/>
            </w:pPr>
            <w:r>
              <w:rPr>
                <w:sz w:val="20"/>
              </w:rPr>
              <w:t xml:space="preserve">Количество неучтенных предложений по проекту акта</w:t>
            </w:r>
          </w:p>
        </w:tc>
        <w:tc>
          <w:tcPr>
            <w:tcW w:w="624" w:type="dxa"/>
          </w:tcPr>
          <w:p>
            <w:pPr>
              <w:pStyle w:val="0"/>
            </w:pPr>
            <w:r>
              <w:rPr>
                <w:sz w:val="20"/>
              </w:rPr>
            </w:r>
          </w:p>
        </w:tc>
      </w:tr>
      <w:tr>
        <w:tc>
          <w:tcPr>
            <w:tcW w:w="8447" w:type="dxa"/>
          </w:tcPr>
          <w:p>
            <w:pPr>
              <w:pStyle w:val="0"/>
            </w:pPr>
            <w:r>
              <w:rPr>
                <w:sz w:val="20"/>
              </w:rPr>
              <w:t xml:space="preserve">Общее количество поступивших предложений по сопроводительным документам</w:t>
            </w:r>
          </w:p>
        </w:tc>
        <w:tc>
          <w:tcPr>
            <w:tcW w:w="624" w:type="dxa"/>
          </w:tcPr>
          <w:p>
            <w:pPr>
              <w:pStyle w:val="0"/>
            </w:pPr>
            <w:r>
              <w:rPr>
                <w:sz w:val="20"/>
              </w:rPr>
            </w:r>
          </w:p>
        </w:tc>
      </w:tr>
      <w:tr>
        <w:tc>
          <w:tcPr>
            <w:tcW w:w="8447" w:type="dxa"/>
          </w:tcPr>
          <w:p>
            <w:pPr>
              <w:pStyle w:val="0"/>
            </w:pPr>
            <w:r>
              <w:rPr>
                <w:sz w:val="20"/>
              </w:rPr>
              <w:t xml:space="preserve">Количество учтенных предложений по сопроводительным документам</w:t>
            </w:r>
          </w:p>
        </w:tc>
        <w:tc>
          <w:tcPr>
            <w:tcW w:w="624" w:type="dxa"/>
          </w:tcPr>
          <w:p>
            <w:pPr>
              <w:pStyle w:val="0"/>
            </w:pPr>
            <w:r>
              <w:rPr>
                <w:sz w:val="20"/>
              </w:rPr>
            </w:r>
          </w:p>
        </w:tc>
      </w:tr>
      <w:tr>
        <w:tc>
          <w:tcPr>
            <w:tcW w:w="8447" w:type="dxa"/>
          </w:tcPr>
          <w:p>
            <w:pPr>
              <w:pStyle w:val="0"/>
            </w:pPr>
            <w:r>
              <w:rPr>
                <w:sz w:val="20"/>
              </w:rPr>
              <w:t xml:space="preserve">Количество неучтенных предложений по сопроводительным документам</w:t>
            </w:r>
          </w:p>
        </w:tc>
        <w:tc>
          <w:tcPr>
            <w:tcW w:w="624"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методическим рекомендациям</w:t>
      </w:r>
    </w:p>
    <w:p>
      <w:pPr>
        <w:pStyle w:val="0"/>
        <w:jc w:val="right"/>
      </w:pPr>
      <w:r>
        <w:rPr>
          <w:sz w:val="20"/>
        </w:rPr>
        <w:t xml:space="preserve">по составлению уведомления</w:t>
      </w:r>
    </w:p>
    <w:p>
      <w:pPr>
        <w:pStyle w:val="0"/>
        <w:jc w:val="right"/>
      </w:pPr>
      <w:r>
        <w:rPr>
          <w:sz w:val="20"/>
        </w:rPr>
        <w:t xml:space="preserve">о проведении публичных</w:t>
      </w:r>
    </w:p>
    <w:p>
      <w:pPr>
        <w:pStyle w:val="0"/>
        <w:jc w:val="right"/>
      </w:pPr>
      <w:r>
        <w:rPr>
          <w:sz w:val="20"/>
        </w:rPr>
        <w:t xml:space="preserve">консультаций и заключения</w:t>
      </w:r>
    </w:p>
    <w:p>
      <w:pPr>
        <w:pStyle w:val="0"/>
        <w:jc w:val="right"/>
      </w:pPr>
      <w:r>
        <w:rPr>
          <w:sz w:val="20"/>
        </w:rPr>
        <w:t xml:space="preserve">о проведении оценки</w:t>
      </w:r>
    </w:p>
    <w:p>
      <w:pPr>
        <w:pStyle w:val="0"/>
        <w:jc w:val="right"/>
      </w:pPr>
      <w:r>
        <w:rPr>
          <w:sz w:val="20"/>
        </w:rPr>
        <w:t xml:space="preserve">регулирующего воздействия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8"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color w:val="392c69"/>
              </w:rPr>
              <w:t xml:space="preserve"> Минэкономики и терразвития СО от 28.10.2024 N 14-НПА)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both"/>
      </w:pPr>
      <w:r>
        <w:rPr>
          <w:sz w:val="20"/>
        </w:rPr>
        <w:t xml:space="preserve">Форма</w:t>
      </w:r>
    </w:p>
    <w:p>
      <w:pPr>
        <w:pStyle w:val="0"/>
        <w:jc w:val="both"/>
      </w:pPr>
      <w:r>
        <w:rPr>
          <w:sz w:val="20"/>
        </w:rPr>
      </w:r>
    </w:p>
    <w:bookmarkStart w:id="477" w:name="P477"/>
    <w:bookmarkEnd w:id="477"/>
    <w:p>
      <w:pPr>
        <w:pStyle w:val="0"/>
        <w:jc w:val="center"/>
      </w:pPr>
      <w:r>
        <w:rPr>
          <w:sz w:val="20"/>
        </w:rPr>
        <w:t xml:space="preserve">ТИПОВОЙ ПЕРЕЧЕНЬ</w:t>
      </w:r>
    </w:p>
    <w:p>
      <w:pPr>
        <w:pStyle w:val="0"/>
        <w:jc w:val="center"/>
      </w:pPr>
      <w:r>
        <w:rPr>
          <w:sz w:val="20"/>
        </w:rPr>
        <w:t xml:space="preserve">вопросов для проведения публичных консультаций</w:t>
      </w:r>
    </w:p>
    <w:p>
      <w:pPr>
        <w:pStyle w:val="0"/>
        <w:jc w:val="center"/>
      </w:pPr>
      <w:r>
        <w:rPr>
          <w:sz w:val="20"/>
        </w:rPr>
        <w:t xml:space="preserve">по проекту нормативного правового акта</w:t>
      </w:r>
    </w:p>
    <w:p>
      <w:pPr>
        <w:pStyle w:val="0"/>
        <w:jc w:val="center"/>
      </w:pPr>
      <w:r>
        <w:rPr>
          <w:sz w:val="20"/>
        </w:rPr>
        <w:t xml:space="preserve">"_________________________________"</w:t>
      </w:r>
    </w:p>
    <w:p>
      <w:pPr>
        <w:pStyle w:val="0"/>
        <w:jc w:val="both"/>
      </w:pPr>
      <w:r>
        <w:rPr>
          <w:sz w:val="20"/>
        </w:rPr>
      </w:r>
    </w:p>
    <w:p>
      <w:pPr>
        <w:pStyle w:val="0"/>
        <w:ind w:firstLine="540"/>
        <w:jc w:val="both"/>
      </w:pPr>
      <w:r>
        <w:rPr>
          <w:sz w:val="20"/>
        </w:rPr>
        <w:t xml:space="preserve">1) Насколько обоснованной, на Ваш взгляд, является проблема, указанная разработчиком в уведомлении?</w:t>
      </w:r>
    </w:p>
    <w:p>
      <w:pPr>
        <w:pStyle w:val="0"/>
        <w:spacing w:before="200" w:lineRule="auto"/>
        <w:ind w:firstLine="540"/>
        <w:jc w:val="both"/>
      </w:pPr>
      <w:r>
        <w:rPr>
          <w:sz w:val="20"/>
        </w:rPr>
        <w:t xml:space="preserve">2) Оценены ли в полной мере издержки, возникающие при осуществлении данного регулирования? Если нет, приведите свои оценки издержек;</w:t>
      </w:r>
    </w:p>
    <w:p>
      <w:pPr>
        <w:pStyle w:val="0"/>
        <w:spacing w:before="200" w:lineRule="auto"/>
        <w:ind w:firstLine="540"/>
        <w:jc w:val="both"/>
      </w:pPr>
      <w:r>
        <w:rPr>
          <w:sz w:val="20"/>
        </w:rPr>
        <w:t xml:space="preserve">3) Какие, на Ваш взгляд, положения проекта акта создают необоснованные расходы? Укажите конкретные номера положений проекта акта с обоснованием необоснованности по каждому из них, а также оценкой таких расходов;</w:t>
      </w:r>
    </w:p>
    <w:p>
      <w:pPr>
        <w:pStyle w:val="0"/>
        <w:spacing w:before="200" w:lineRule="auto"/>
        <w:ind w:firstLine="540"/>
        <w:jc w:val="both"/>
      </w:pPr>
      <w:r>
        <w:rPr>
          <w:sz w:val="20"/>
        </w:rPr>
        <w:t xml:space="preserve">4) Какие риски и негативные последствия могут возникнуть в случае принятия предлагаемого правового регулирования?</w:t>
      </w:r>
    </w:p>
    <w:p>
      <w:pPr>
        <w:pStyle w:val="0"/>
        <w:spacing w:before="200" w:lineRule="auto"/>
        <w:ind w:firstLine="540"/>
        <w:jc w:val="both"/>
      </w:pPr>
      <w:r>
        <w:rPr>
          <w:sz w:val="20"/>
        </w:rPr>
        <w:t xml:space="preserve">5) Какие выгоды и преимущества могут возникнуть в случае принятия предлагаемого правового регулирования?</w:t>
      </w:r>
    </w:p>
    <w:p>
      <w:pPr>
        <w:pStyle w:val="0"/>
        <w:spacing w:before="200" w:lineRule="auto"/>
        <w:ind w:firstLine="540"/>
        <w:jc w:val="both"/>
      </w:pPr>
      <w:r>
        <w:rPr>
          <w:sz w:val="20"/>
        </w:rPr>
        <w:t xml:space="preserve">6) Какие, на Ваш взгляд, положения проекта акта вводят избыточные обязанности, запреты, ограничения и создают дополнительные административные барьеры? Укажите конкретные номера положений проекта акта с обоснованием избыточности по каждому из них;</w:t>
      </w:r>
    </w:p>
    <w:p>
      <w:pPr>
        <w:pStyle w:val="0"/>
        <w:spacing w:before="200" w:lineRule="auto"/>
        <w:ind w:firstLine="540"/>
        <w:jc w:val="both"/>
      </w:pPr>
      <w:r>
        <w:rPr>
          <w:sz w:val="20"/>
        </w:rPr>
        <w:t xml:space="preserve">7) Является ли предлагаемое регулирование оптимальным способом решения проблемы из рассмотренных вариантов?</w:t>
      </w:r>
    </w:p>
    <w:p>
      <w:pPr>
        <w:pStyle w:val="0"/>
        <w:spacing w:before="200" w:lineRule="auto"/>
        <w:ind w:firstLine="540"/>
        <w:jc w:val="both"/>
      </w:pPr>
      <w:r>
        <w:rPr>
          <w:sz w:val="20"/>
        </w:rPr>
        <w:t xml:space="preserve">8) Существуют ли альтернативные (менее затратные и (или) более эффективные) способы решения проблемы? Приведите количественные оценки, подтверждающие Ваши предложения;</w:t>
      </w:r>
    </w:p>
    <w:p>
      <w:pPr>
        <w:pStyle w:val="0"/>
        <w:spacing w:before="200" w:lineRule="auto"/>
        <w:ind w:firstLine="540"/>
        <w:jc w:val="both"/>
      </w:pPr>
      <w:r>
        <w:rPr>
          <w:sz w:val="20"/>
        </w:rPr>
        <w:t xml:space="preserve">9) Ваше общее мнение по предлагаемому правовому регулированию?</w:t>
      </w:r>
    </w:p>
    <w:p>
      <w:pPr>
        <w:pStyle w:val="0"/>
        <w:spacing w:before="200" w:lineRule="auto"/>
        <w:ind w:firstLine="540"/>
        <w:jc w:val="both"/>
      </w:pPr>
      <w:r>
        <w:rPr>
          <w:sz w:val="20"/>
        </w:rPr>
        <w:t xml:space="preserve">10) Иные предложения и замечания по проекту НПА.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Приложений дана в соответствии с изменениями, внесенными </w:t>
            </w:r>
            <w:hyperlink w:history="0" r:id="rId59"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Приказом</w:t>
              </w:r>
            </w:hyperlink>
            <w:r>
              <w:rPr>
                <w:sz w:val="20"/>
                <w:color w:val="392c69"/>
              </w:rPr>
              <w:t xml:space="preserve"> Минэкономики и терразвития СО от 28.10.2024 N 14-НПА.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1"/>
        <w:jc w:val="right"/>
      </w:pPr>
      <w:r>
        <w:rPr>
          <w:sz w:val="20"/>
        </w:rPr>
        <w:t xml:space="preserve">Приложение N 2</w:t>
      </w:r>
    </w:p>
    <w:p>
      <w:pPr>
        <w:pStyle w:val="0"/>
        <w:jc w:val="right"/>
      </w:pPr>
      <w:r>
        <w:rPr>
          <w:sz w:val="20"/>
        </w:rPr>
        <w:t xml:space="preserve">к методическим рекомендациям</w:t>
      </w:r>
    </w:p>
    <w:p>
      <w:pPr>
        <w:pStyle w:val="0"/>
        <w:jc w:val="right"/>
      </w:pPr>
      <w:r>
        <w:rPr>
          <w:sz w:val="20"/>
        </w:rPr>
        <w:t xml:space="preserve">по составлению уведомления о проведении</w:t>
      </w:r>
    </w:p>
    <w:p>
      <w:pPr>
        <w:pStyle w:val="0"/>
        <w:jc w:val="right"/>
      </w:pPr>
      <w:r>
        <w:rPr>
          <w:sz w:val="20"/>
        </w:rPr>
        <w:t xml:space="preserve">публичных консультаций и заключения</w:t>
      </w:r>
    </w:p>
    <w:p>
      <w:pPr>
        <w:pStyle w:val="0"/>
        <w:jc w:val="right"/>
      </w:pPr>
      <w:r>
        <w:rPr>
          <w:sz w:val="20"/>
        </w:rPr>
        <w:t xml:space="preserve">об оценке регулирующего воздействия</w:t>
      </w:r>
    </w:p>
    <w:p>
      <w:pPr>
        <w:pStyle w:val="0"/>
        <w:jc w:val="both"/>
      </w:pPr>
      <w:r>
        <w:rPr>
          <w:sz w:val="20"/>
        </w:rPr>
      </w:r>
    </w:p>
    <w:bookmarkStart w:id="505" w:name="P505"/>
    <w:bookmarkEnd w:id="505"/>
    <w:p>
      <w:pPr>
        <w:pStyle w:val="2"/>
        <w:jc w:val="center"/>
      </w:pPr>
      <w:r>
        <w:rPr>
          <w:sz w:val="20"/>
        </w:rPr>
        <w:t xml:space="preserve">МЕТОДИКА</w:t>
      </w:r>
    </w:p>
    <w:p>
      <w:pPr>
        <w:pStyle w:val="2"/>
        <w:jc w:val="center"/>
      </w:pPr>
      <w:r>
        <w:rPr>
          <w:sz w:val="20"/>
        </w:rPr>
        <w:t xml:space="preserve">ОЦЕНКИ СТАНДАРТНЫХ ИЗДЕРЖЕК СУБЪЕКТОВ</w:t>
      </w:r>
    </w:p>
    <w:p>
      <w:pPr>
        <w:pStyle w:val="2"/>
        <w:jc w:val="center"/>
      </w:pPr>
      <w:r>
        <w:rPr>
          <w:sz w:val="20"/>
        </w:rPr>
        <w:t xml:space="preserve">ПРЕДПРИНИМАТЕЛЬСКОЙ И ИНОЙ ЭКОНОМИЧЕСКОЙ ДЕЯТЕЛЬНОСТИ,</w:t>
      </w:r>
    </w:p>
    <w:p>
      <w:pPr>
        <w:pStyle w:val="2"/>
        <w:jc w:val="center"/>
      </w:pPr>
      <w:r>
        <w:rPr>
          <w:sz w:val="20"/>
        </w:rPr>
        <w:t xml:space="preserve">ВОЗНИКАЮЩИХ В СВЯЗИ С ИСПОЛНЕНИЕМ ТРЕБОВАНИЙ РЕГУЛИРОВАНИЯ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0"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color w:val="392c69"/>
              </w:rPr>
              <w:t xml:space="preserve"> Минэкономики и терразвития СО от 28.10.2024 N 14-НПА)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Настоящая методика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(далее - методика), содержит рекомендуемый порядок действий по организации и проведению процедуры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(далее - стандартные издержки), в ходе осуществления исполнительными органами государственной власти Свердловской области своих функций по нормативному правовому регулированию в соответствующих сферах деятельности.</w:t>
      </w:r>
    </w:p>
    <w:p>
      <w:pPr>
        <w:pStyle w:val="0"/>
        <w:spacing w:before="200" w:lineRule="auto"/>
        <w:ind w:firstLine="540"/>
        <w:jc w:val="both"/>
      </w:pPr>
      <w:r>
        <w:rPr>
          <w:sz w:val="20"/>
        </w:rPr>
        <w:t xml:space="preserve">В частности, методика применяется для оценки стандартных издержек субъектов предпринимательской и иной экономической деятельности при представлении отчетности в исполнительные органы государственной власти Свердловской области, получении государственных услуг, субсидий и иных мер поддержки от исполнительных органов государственной власти Свердловской области, выполнении требований для допуска и дальнейшего осуществления определенных видов деятельности.</w:t>
      </w:r>
    </w:p>
    <w:p>
      <w:pPr>
        <w:pStyle w:val="0"/>
        <w:spacing w:before="200" w:lineRule="auto"/>
        <w:ind w:firstLine="540"/>
        <w:jc w:val="both"/>
      </w:pPr>
      <w:r>
        <w:rPr>
          <w:sz w:val="20"/>
        </w:rPr>
        <w:t xml:space="preserve">2. Оценка стандартных издержек проводится в отношении обязательных требований, обязанностей, запретов и ограничений (далее - требования), содержащихся в проектах нормативных правовых актов Свердловской области (далее - проекты актов), в ходе осуществления процедуры оценки регулирующего воздействия (далее - ОРВ), а также в действующих нормативных правовых актах Свердловской области (далее - акты), в ходе оценки фактического воздействия и оценки применения требований и экспертизы (далее - ОФВ, ОПТ и экспертизы).</w:t>
      </w:r>
    </w:p>
    <w:p>
      <w:pPr>
        <w:pStyle w:val="0"/>
        <w:spacing w:before="200" w:lineRule="auto"/>
        <w:ind w:firstLine="540"/>
        <w:jc w:val="both"/>
      </w:pPr>
      <w:r>
        <w:rPr>
          <w:sz w:val="20"/>
        </w:rPr>
        <w:t xml:space="preserve">В ходе проведения ОРВ, ОФВ и экспертизы должны быть установлены положения, приводящие к возникновению у субъектов предпринимательской и иной экономической деятельности расходов, связанных с необходимостью соблюдения установленных требований регулирования. Количественная (монетарная) оценка таких расходов проводится с использованием модели стандартных издержек путем оценки и издержек на выполнение участниками регулируемых отношений типовых действий, необходимых для выполнения требований со стороны государства.</w:t>
      </w:r>
    </w:p>
    <w:p>
      <w:pPr>
        <w:pStyle w:val="0"/>
        <w:spacing w:before="200" w:lineRule="auto"/>
        <w:ind w:firstLine="540"/>
        <w:jc w:val="both"/>
      </w:pPr>
      <w:r>
        <w:rPr>
          <w:sz w:val="20"/>
        </w:rPr>
        <w:t xml:space="preserve">Оценка стандартных издержек на выполнение установленных требований осуществляется в отношении актов и проектов актов в расчете не менее чем на 1 календарный год.</w:t>
      </w:r>
    </w:p>
    <w:p>
      <w:pPr>
        <w:pStyle w:val="0"/>
        <w:spacing w:before="200" w:lineRule="auto"/>
        <w:ind w:firstLine="540"/>
        <w:jc w:val="both"/>
      </w:pPr>
      <w:r>
        <w:rPr>
          <w:sz w:val="20"/>
        </w:rPr>
        <w:t xml:space="preserve">Оценка стандартных издержек исполнения требований осуществляется в отношении следующих типов издержек исполнения требований: информационных, содержательных, издержек простоя и недополученной прибыли, альтернативных издержек.</w:t>
      </w:r>
    </w:p>
    <w:p>
      <w:pPr>
        <w:pStyle w:val="0"/>
        <w:spacing w:before="200" w:lineRule="auto"/>
        <w:ind w:firstLine="540"/>
        <w:jc w:val="both"/>
      </w:pPr>
      <w:r>
        <w:rPr>
          <w:sz w:val="20"/>
        </w:rPr>
        <w:t xml:space="preserve">3. Расчет стандартных издержек основывается на произведении затрачиваемого рабочего времени на осуществление действий, необходимых для выполнения установленных государством требований, и ставки заработной платы персонала, занятого реализацией требований.</w:t>
      </w:r>
    </w:p>
    <w:p>
      <w:pPr>
        <w:pStyle w:val="0"/>
        <w:spacing w:before="200" w:lineRule="auto"/>
        <w:ind w:firstLine="540"/>
        <w:jc w:val="both"/>
      </w:pPr>
      <w:r>
        <w:rPr>
          <w:sz w:val="20"/>
        </w:rPr>
        <w:t xml:space="preserve">4. Информационные издержки регулирования включают в себя затраты на сбор, подготовку и представление органам публичной власти информации (документов, сведений) в соответствии с требованиями проекта акта, в том числе затраты на поддержание готовности представить необходимую информацию по запросу со стороны органов власти или их уполномоченных представителей.</w:t>
      </w:r>
    </w:p>
    <w:p>
      <w:pPr>
        <w:pStyle w:val="0"/>
        <w:spacing w:before="200" w:lineRule="auto"/>
        <w:ind w:firstLine="540"/>
        <w:jc w:val="both"/>
      </w:pPr>
      <w:r>
        <w:rPr>
          <w:sz w:val="20"/>
        </w:rPr>
        <w:t xml:space="preserve">5. Содержательные издержки регулирования включают в себя затраты на реализацию положений проекта акта, не связанные с выполнением информационных требований. Содержательные издержки разделяются на единовременные, осуществляемые в момент выполнения требований акта, проекта акта, и долгосрочные, регулярно осуществляемые на протяжении всего срока действия требования.</w:t>
      </w:r>
    </w:p>
    <w:p>
      <w:pPr>
        <w:pStyle w:val="0"/>
        <w:spacing w:before="200" w:lineRule="auto"/>
        <w:ind w:firstLine="540"/>
        <w:jc w:val="both"/>
      </w:pPr>
      <w:r>
        <w:rPr>
          <w:sz w:val="20"/>
        </w:rPr>
        <w:t xml:space="preserve">6. Под издержками простоя понимаются производственные издержки, возникающие у субъекта предпринимательской или иной экономической деятельности в период вынужденного прекращения (приостановки) деятельности и (или) осуществления в связи с необходимостью соблюдения требования действий, не приводящих к получению дохода (не направленных на цели экономической деятельности), в том числе эксплуатационные издержки (коммунальные платежи, затраты на топливо, расходные материалы, техническое обслуживание), затраты на оплату труда сотрудников.</w:t>
      </w:r>
    </w:p>
    <w:p>
      <w:pPr>
        <w:pStyle w:val="0"/>
        <w:spacing w:before="200" w:lineRule="auto"/>
        <w:ind w:firstLine="540"/>
        <w:jc w:val="both"/>
      </w:pPr>
      <w:r>
        <w:rPr>
          <w:sz w:val="20"/>
        </w:rPr>
        <w:t xml:space="preserve">Под недополученной прибылью понимается прибыль, упущенная субъектом предпринимательской деятельности в период вынужденного прекращения (приостановки) предпринимательской деятельности и (или) осуществления в связи с необходимостью соблюдения требования действий, не приводящих к получению дохода.</w:t>
      </w:r>
    </w:p>
    <w:p>
      <w:pPr>
        <w:pStyle w:val="0"/>
        <w:spacing w:before="200" w:lineRule="auto"/>
        <w:ind w:firstLine="540"/>
        <w:jc w:val="both"/>
      </w:pPr>
      <w:r>
        <w:rPr>
          <w:sz w:val="20"/>
        </w:rPr>
        <w:t xml:space="preserve">7. Под альтернативными издержками понимается объем прибыли, который субъект предпринимательской деятельности получил бы при обычных условиях гражданского оборота, если бы требование не было установлено.</w:t>
      </w:r>
    </w:p>
    <w:p>
      <w:pPr>
        <w:pStyle w:val="0"/>
        <w:spacing w:before="200" w:lineRule="auto"/>
        <w:ind w:firstLine="540"/>
        <w:jc w:val="both"/>
      </w:pPr>
      <w:r>
        <w:rPr>
          <w:sz w:val="20"/>
        </w:rPr>
        <w:t xml:space="preserve">Информационные, содержательные издержки, издержки простоя рассчитываются в отношении требований, распространяемых как на субъекты предпринимательской деятельности, так и на субъекты иной экономической деятельности.</w:t>
      </w:r>
    </w:p>
    <w:p>
      <w:pPr>
        <w:pStyle w:val="0"/>
        <w:spacing w:before="200" w:lineRule="auto"/>
        <w:ind w:firstLine="540"/>
        <w:jc w:val="both"/>
      </w:pPr>
      <w:r>
        <w:rPr>
          <w:sz w:val="20"/>
        </w:rPr>
        <w:t xml:space="preserve">Недополученная прибыль и альтернативные издержки в отношении требований, распространяемых на субъекты иной экономической деятельности, не рассчитываются.</w:t>
      </w:r>
    </w:p>
    <w:p>
      <w:pPr>
        <w:pStyle w:val="0"/>
        <w:jc w:val="both"/>
      </w:pPr>
      <w:r>
        <w:rPr>
          <w:sz w:val="20"/>
        </w:rPr>
      </w:r>
    </w:p>
    <w:p>
      <w:pPr>
        <w:pStyle w:val="2"/>
        <w:outlineLvl w:val="2"/>
        <w:jc w:val="center"/>
      </w:pPr>
      <w:r>
        <w:rPr>
          <w:sz w:val="20"/>
        </w:rPr>
        <w:t xml:space="preserve">Глава 2. МЕТОДОЛОГИЯ РАСЧЕТА ИНФОРМАЦИОННЫХ ИЗДЕРЖЕК</w:t>
      </w:r>
    </w:p>
    <w:p>
      <w:pPr>
        <w:pStyle w:val="0"/>
        <w:jc w:val="both"/>
      </w:pPr>
      <w:r>
        <w:rPr>
          <w:sz w:val="20"/>
        </w:rPr>
      </w:r>
    </w:p>
    <w:p>
      <w:pPr>
        <w:pStyle w:val="0"/>
        <w:ind w:firstLine="540"/>
        <w:jc w:val="both"/>
      </w:pPr>
      <w:r>
        <w:rPr>
          <w:sz w:val="20"/>
        </w:rPr>
        <w:t xml:space="preserve">8. Проведение оценки информационных издержек предполагает последовательную реализацию следующих этапов:</w:t>
      </w:r>
    </w:p>
    <w:p>
      <w:pPr>
        <w:pStyle w:val="0"/>
        <w:spacing w:before="200" w:lineRule="auto"/>
        <w:ind w:firstLine="540"/>
        <w:jc w:val="both"/>
      </w:pPr>
      <w:r>
        <w:rPr>
          <w:sz w:val="20"/>
        </w:rPr>
        <w:t xml:space="preserve">1) выделение информационных требований из текста проекта акта или акта;</w:t>
      </w:r>
    </w:p>
    <w:p>
      <w:pPr>
        <w:pStyle w:val="0"/>
        <w:spacing w:before="200" w:lineRule="auto"/>
        <w:ind w:firstLine="540"/>
        <w:jc w:val="both"/>
      </w:pPr>
      <w:r>
        <w:rPr>
          <w:sz w:val="20"/>
        </w:rPr>
        <w:t xml:space="preserve">2) детализация информационных требований до уровня информационных элементов;</w:t>
      </w:r>
    </w:p>
    <w:p>
      <w:pPr>
        <w:pStyle w:val="0"/>
        <w:spacing w:before="200" w:lineRule="auto"/>
        <w:ind w:firstLine="540"/>
        <w:jc w:val="both"/>
      </w:pPr>
      <w:r>
        <w:rPr>
          <w:sz w:val="20"/>
        </w:rPr>
        <w:t xml:space="preserve">3) определение показателя объектов расчета информационных требований;</w:t>
      </w:r>
    </w:p>
    <w:p>
      <w:pPr>
        <w:pStyle w:val="0"/>
        <w:spacing w:before="200" w:lineRule="auto"/>
        <w:ind w:firstLine="540"/>
        <w:jc w:val="both"/>
      </w:pPr>
      <w:r>
        <w:rPr>
          <w:sz w:val="20"/>
        </w:rPr>
        <w:t xml:space="preserve">4) определение частоты выполнения информационных требований;</w:t>
      </w:r>
    </w:p>
    <w:p>
      <w:pPr>
        <w:pStyle w:val="0"/>
        <w:spacing w:before="200" w:lineRule="auto"/>
        <w:ind w:firstLine="540"/>
        <w:jc w:val="both"/>
      </w:pPr>
      <w:r>
        <w:rPr>
          <w:sz w:val="20"/>
        </w:rPr>
        <w:t xml:space="preserve">5) определение затрат рабочего времени, необходимых на выполнение информационных требований;</w:t>
      </w:r>
    </w:p>
    <w:p>
      <w:pPr>
        <w:pStyle w:val="0"/>
        <w:spacing w:before="200" w:lineRule="auto"/>
        <w:ind w:firstLine="540"/>
        <w:jc w:val="both"/>
      </w:pPr>
      <w:r>
        <w:rPr>
          <w:sz w:val="20"/>
        </w:rPr>
        <w:t xml:space="preserve">6) определение стоимости приобретений, необходимых для выполнения информационных требований;</w:t>
      </w:r>
    </w:p>
    <w:p>
      <w:pPr>
        <w:pStyle w:val="0"/>
        <w:spacing w:before="200" w:lineRule="auto"/>
        <w:ind w:firstLine="540"/>
        <w:jc w:val="both"/>
      </w:pPr>
      <w:r>
        <w:rPr>
          <w:sz w:val="20"/>
        </w:rPr>
        <w:t xml:space="preserve">7) расчет суммы информационных издержек.</w:t>
      </w:r>
    </w:p>
    <w:p>
      <w:pPr>
        <w:pStyle w:val="0"/>
        <w:spacing w:before="200" w:lineRule="auto"/>
        <w:ind w:firstLine="540"/>
        <w:jc w:val="both"/>
      </w:pPr>
      <w:r>
        <w:rPr>
          <w:sz w:val="20"/>
        </w:rPr>
        <w:t xml:space="preserve">9. В целях выделения из текста проекта акта информационного требования необходимо определить установленное им требование к субъектам предпринимательской и иной экономической деятельности о представлении государственному органу власти или уполномоченной им организации определенной информации либо об обеспечении условий для беспрепятственного получения необходимой информации о деятельности субъекта предпринимательской и иной экономической деятельности.</w:t>
      </w:r>
    </w:p>
    <w:p>
      <w:pPr>
        <w:pStyle w:val="0"/>
        <w:spacing w:before="200" w:lineRule="auto"/>
        <w:ind w:firstLine="540"/>
        <w:jc w:val="both"/>
      </w:pPr>
      <w:r>
        <w:rPr>
          <w:sz w:val="20"/>
        </w:rPr>
        <w:t xml:space="preserve">Процесс выделения информационных требований включает в себя поиск информационных требований, указанных в тексте акта, проекта акта, которые удовлетворяют всем следующим условиям:</w:t>
      </w:r>
    </w:p>
    <w:p>
      <w:pPr>
        <w:pStyle w:val="0"/>
        <w:spacing w:before="200" w:lineRule="auto"/>
        <w:ind w:firstLine="540"/>
        <w:jc w:val="both"/>
      </w:pPr>
      <w:r>
        <w:rPr>
          <w:sz w:val="20"/>
        </w:rPr>
        <w:t xml:space="preserve">1) распространяются на субъекты предпринимательской и иной экономической деятельности;</w:t>
      </w:r>
    </w:p>
    <w:p>
      <w:pPr>
        <w:pStyle w:val="0"/>
        <w:spacing w:before="200" w:lineRule="auto"/>
        <w:ind w:firstLine="540"/>
        <w:jc w:val="both"/>
      </w:pPr>
      <w:r>
        <w:rPr>
          <w:sz w:val="20"/>
        </w:rPr>
        <w:t xml:space="preserve">2) предполагают подготовку (представление) информации в органы власти, передача которой осуществляется лично, по почте, электронными и другими средствами связи.</w:t>
      </w:r>
    </w:p>
    <w:p>
      <w:pPr>
        <w:pStyle w:val="0"/>
        <w:spacing w:before="200" w:lineRule="auto"/>
        <w:ind w:firstLine="540"/>
        <w:jc w:val="both"/>
      </w:pPr>
      <w:r>
        <w:rPr>
          <w:sz w:val="20"/>
        </w:rPr>
        <w:t xml:space="preserve">Наиболее распространенными типами информационных требований являются представление информации (документы и их копии, уведомления), формирование и хранение информации, необходимой для представления по запросу со стороны органов власти и (или) уполномоченных представителей.</w:t>
      </w:r>
    </w:p>
    <w:p>
      <w:pPr>
        <w:pStyle w:val="0"/>
        <w:spacing w:before="200" w:lineRule="auto"/>
        <w:ind w:firstLine="540"/>
        <w:jc w:val="both"/>
      </w:pPr>
      <w:r>
        <w:rPr>
          <w:sz w:val="20"/>
        </w:rPr>
        <w:t xml:space="preserve">10. В целях детализации информационного требования рекомендуется формировать исчерпывающий перечень не дублирующих друг друга информационных элементов, на которые можно разделить информационное требование.</w:t>
      </w:r>
    </w:p>
    <w:p>
      <w:pPr>
        <w:pStyle w:val="0"/>
        <w:spacing w:before="200" w:lineRule="auto"/>
        <w:ind w:firstLine="540"/>
        <w:jc w:val="both"/>
      </w:pPr>
      <w:r>
        <w:rPr>
          <w:sz w:val="20"/>
        </w:rPr>
        <w:t xml:space="preserve">К типовым информационным элементам относятся:</w:t>
      </w:r>
    </w:p>
    <w:p>
      <w:pPr>
        <w:pStyle w:val="0"/>
        <w:spacing w:before="200" w:lineRule="auto"/>
        <w:ind w:firstLine="540"/>
        <w:jc w:val="both"/>
      </w:pPr>
      <w:r>
        <w:rPr>
          <w:sz w:val="20"/>
        </w:rPr>
        <w:t xml:space="preserve">1) документы субъектов предпринимательской и иной экономической деятельности, оригиналы которых уже готовы независимо от требований органов власти, указанных в исследуемом акте, проекте акта;</w:t>
      </w:r>
    </w:p>
    <w:p>
      <w:pPr>
        <w:pStyle w:val="0"/>
        <w:spacing w:before="200" w:lineRule="auto"/>
        <w:ind w:firstLine="540"/>
        <w:jc w:val="both"/>
      </w:pPr>
      <w:r>
        <w:rPr>
          <w:sz w:val="20"/>
        </w:rPr>
        <w:t xml:space="preserve">2) документы, которые субъекты предпринимательской и иной экономической деятельности готовят самостоятельно для представления (хранения) в органы власти, в том числе отчетность, заявки, уведомления;</w:t>
      </w:r>
    </w:p>
    <w:p>
      <w:pPr>
        <w:pStyle w:val="0"/>
        <w:spacing w:before="200" w:lineRule="auto"/>
        <w:ind w:firstLine="540"/>
        <w:jc w:val="both"/>
      </w:pPr>
      <w:r>
        <w:rPr>
          <w:sz w:val="20"/>
        </w:rPr>
        <w:t xml:space="preserve">3) документы, которые субъекты предпринимательской и иной экономической деятельности готовят совместно с третьими лицами, в том числе органами власти, для представления (хранения) в органы власти, включая справки, результаты экспертиз, разрешения.</w:t>
      </w:r>
    </w:p>
    <w:bookmarkStart w:id="549" w:name="P549"/>
    <w:bookmarkEnd w:id="549"/>
    <w:p>
      <w:pPr>
        <w:pStyle w:val="0"/>
        <w:spacing w:before="200" w:lineRule="auto"/>
        <w:ind w:firstLine="540"/>
        <w:jc w:val="both"/>
      </w:pPr>
      <w:r>
        <w:rPr>
          <w:sz w:val="20"/>
        </w:rPr>
        <w:t xml:space="preserve">11. В целях определения объекта расчетов информационного требования (информационного элемента) необходимо установить количество объектов (организаций, сотрудников, событий), на которых направлено регулирование с точки зрения необходимости выполнения информационного требования (представления информационного элемента).</w:t>
      </w:r>
    </w:p>
    <w:p>
      <w:pPr>
        <w:pStyle w:val="0"/>
        <w:spacing w:before="200" w:lineRule="auto"/>
        <w:ind w:firstLine="540"/>
        <w:jc w:val="both"/>
      </w:pPr>
      <w:r>
        <w:rPr>
          <w:sz w:val="20"/>
        </w:rPr>
        <w:t xml:space="preserve">Значения показателей объекта расчетов определяются на основе данных официальной статистики, представленных на официальных сайтах Управления Федеральной службы государственной статистики по Свердловской области и Курганской области, и иных ресурсах органов государственной власти.</w:t>
      </w:r>
    </w:p>
    <w:bookmarkStart w:id="551" w:name="P551"/>
    <w:bookmarkEnd w:id="551"/>
    <w:p>
      <w:pPr>
        <w:pStyle w:val="0"/>
        <w:spacing w:before="200" w:lineRule="auto"/>
        <w:ind w:firstLine="540"/>
        <w:jc w:val="both"/>
      </w:pPr>
      <w:r>
        <w:rPr>
          <w:sz w:val="20"/>
        </w:rPr>
        <w:t xml:space="preserve">12. При определении частоты выполнения информационного требования (представления информационного элемента) устанавливается количество выполнений информационного требования (представлений информационных элементов) за календарный год.</w:t>
      </w:r>
    </w:p>
    <w:p>
      <w:pPr>
        <w:pStyle w:val="0"/>
        <w:spacing w:before="200" w:lineRule="auto"/>
        <w:ind w:firstLine="540"/>
        <w:jc w:val="both"/>
      </w:pPr>
      <w:r>
        <w:rPr>
          <w:sz w:val="20"/>
        </w:rPr>
        <w:t xml:space="preserve">13. В целях определения затрат рабочего времени, необходимых на выполнение информационного требования, суммируются затраты рабочего времени на выполнение всех действий, необходимых для представления информационных элементов, входящих в соответствующее информационное требование.</w:t>
      </w:r>
    </w:p>
    <w:p>
      <w:pPr>
        <w:pStyle w:val="0"/>
        <w:spacing w:before="200" w:lineRule="auto"/>
        <w:ind w:firstLine="540"/>
        <w:jc w:val="both"/>
      </w:pPr>
      <w:r>
        <w:rPr>
          <w:sz w:val="20"/>
        </w:rPr>
        <w:t xml:space="preserve">Могут быть выделены следующие блоки действий:</w:t>
      </w:r>
    </w:p>
    <w:p>
      <w:pPr>
        <w:pStyle w:val="0"/>
        <w:spacing w:before="200" w:lineRule="auto"/>
        <w:ind w:firstLine="540"/>
        <w:jc w:val="both"/>
      </w:pPr>
      <w:r>
        <w:rPr>
          <w:sz w:val="20"/>
        </w:rPr>
        <w:t xml:space="preserve">1) подготовка (формирование) и представление документа (сведений);</w:t>
      </w:r>
    </w:p>
    <w:p>
      <w:pPr>
        <w:pStyle w:val="0"/>
        <w:spacing w:before="200" w:lineRule="auto"/>
        <w:ind w:firstLine="540"/>
        <w:jc w:val="both"/>
      </w:pPr>
      <w:r>
        <w:rPr>
          <w:sz w:val="20"/>
        </w:rPr>
        <w:t xml:space="preserve">2) получение (поиск) и представление документа;</w:t>
      </w:r>
    </w:p>
    <w:p>
      <w:pPr>
        <w:pStyle w:val="0"/>
        <w:spacing w:before="200" w:lineRule="auto"/>
        <w:ind w:firstLine="540"/>
        <w:jc w:val="both"/>
      </w:pPr>
      <w:r>
        <w:rPr>
          <w:sz w:val="20"/>
        </w:rPr>
        <w:t xml:space="preserve">3) получение документа у третьих лиц и представление его в государственный орган в пакете с иными документами;</w:t>
      </w:r>
    </w:p>
    <w:p>
      <w:pPr>
        <w:pStyle w:val="0"/>
        <w:spacing w:before="200" w:lineRule="auto"/>
        <w:ind w:firstLine="540"/>
        <w:jc w:val="both"/>
      </w:pPr>
      <w:r>
        <w:rPr>
          <w:sz w:val="20"/>
        </w:rPr>
        <w:t xml:space="preserve">4) получение (поиск), копирование и представление в государственный орган копии ранее подготовленного документа.</w:t>
      </w:r>
    </w:p>
    <w:p>
      <w:pPr>
        <w:pStyle w:val="0"/>
        <w:spacing w:before="200" w:lineRule="auto"/>
        <w:ind w:firstLine="540"/>
        <w:jc w:val="both"/>
      </w:pPr>
      <w:r>
        <w:rPr>
          <w:sz w:val="20"/>
        </w:rPr>
        <w:t xml:space="preserve">14. Затраты рабочего времени на выполнение действий определяются на основе тематических исследований и данных из опубликованных научных статей с обязательным указанием источников, а также агрегация мнений специалистов, обладающих подтвержденным опытом работы к (или) научными публикациями по исследуемому вопросу (далее - экспертная оценка).</w:t>
      </w:r>
    </w:p>
    <w:p>
      <w:pPr>
        <w:pStyle w:val="0"/>
        <w:spacing w:before="200" w:lineRule="auto"/>
        <w:ind w:firstLine="540"/>
        <w:jc w:val="both"/>
      </w:pPr>
      <w:r>
        <w:rPr>
          <w:sz w:val="20"/>
        </w:rPr>
        <w:t xml:space="preserve">15. В случае если объект расчетов и (или) частота выполнения информационного требования и объект расчетов и (или) частота представления входящих в него информационных элементов отличаются, для подобного информационного требования определяются затраты рабочего времени с учетом показателя масштаба и частоты каждого входящего в него информационного элемента.</w:t>
      </w:r>
    </w:p>
    <w:p>
      <w:pPr>
        <w:pStyle w:val="0"/>
        <w:spacing w:before="200" w:lineRule="auto"/>
        <w:ind w:firstLine="540"/>
        <w:jc w:val="both"/>
      </w:pPr>
      <w:r>
        <w:rPr>
          <w:sz w:val="20"/>
        </w:rPr>
        <w:t xml:space="preserve">16. Затраты рабочего времени, необходимого на выполнение информационных требований, в указанных выше случаях рассчитываются путем суммирования по каждому информационному требованию затрат рабочего времени на представление информационных элементов, которые в него входят, с учетом показателей объекта расчетов и частоты, найденных на предыдущих этапах.</w:t>
      </w:r>
    </w:p>
    <w:bookmarkStart w:id="561" w:name="P561"/>
    <w:bookmarkEnd w:id="561"/>
    <w:p>
      <w:pPr>
        <w:pStyle w:val="0"/>
        <w:spacing w:before="200" w:lineRule="auto"/>
        <w:ind w:firstLine="540"/>
        <w:jc w:val="both"/>
      </w:pPr>
      <w:r>
        <w:rPr>
          <w:sz w:val="20"/>
        </w:rPr>
        <w:t xml:space="preserve">17. В целях определения затрат на приобретения, необходимые для выполнения каждого информационного требования, с учетом показателя объекта расчетов и частоты каждого входящего в него информационного элемента следует суммировать затраты на приобретения, необходимые для представления каждого информационного элемента.</w:t>
      </w:r>
    </w:p>
    <w:p>
      <w:pPr>
        <w:pStyle w:val="0"/>
        <w:spacing w:before="200" w:lineRule="auto"/>
        <w:ind w:firstLine="540"/>
        <w:jc w:val="both"/>
      </w:pPr>
      <w:r>
        <w:rPr>
          <w:sz w:val="20"/>
        </w:rPr>
        <w:t xml:space="preserve">В состав приобретений, необходимых для выполнения информационного требования (представления информационного элемента), включаются товары, работы, услуги, приобретаемые исключительно в целях выполнения информационного требования (представления информационного элемента).</w:t>
      </w:r>
    </w:p>
    <w:p>
      <w:pPr>
        <w:pStyle w:val="0"/>
        <w:spacing w:before="200" w:lineRule="auto"/>
        <w:ind w:firstLine="540"/>
        <w:jc w:val="both"/>
      </w:pPr>
      <w:r>
        <w:rPr>
          <w:sz w:val="20"/>
        </w:rPr>
        <w:t xml:space="preserve">Наиболее распространенные типы приобретений:</w:t>
      </w:r>
    </w:p>
    <w:p>
      <w:pPr>
        <w:pStyle w:val="0"/>
        <w:spacing w:before="200" w:lineRule="auto"/>
        <w:ind w:firstLine="540"/>
        <w:jc w:val="both"/>
      </w:pPr>
      <w:r>
        <w:rPr>
          <w:sz w:val="20"/>
        </w:rPr>
        <w:t xml:space="preserve">1) специфическое оборудование (измерительные приборы, датчики);</w:t>
      </w:r>
    </w:p>
    <w:p>
      <w:pPr>
        <w:pStyle w:val="0"/>
        <w:spacing w:before="200" w:lineRule="auto"/>
        <w:ind w:firstLine="540"/>
        <w:jc w:val="both"/>
      </w:pPr>
      <w:r>
        <w:rPr>
          <w:sz w:val="20"/>
        </w:rPr>
        <w:t xml:space="preserve">2) специфические услуги (курсы повышения квалификации работников);</w:t>
      </w:r>
    </w:p>
    <w:p>
      <w:pPr>
        <w:pStyle w:val="0"/>
        <w:spacing w:before="200" w:lineRule="auto"/>
        <w:ind w:firstLine="540"/>
        <w:jc w:val="both"/>
      </w:pPr>
      <w:r>
        <w:rPr>
          <w:sz w:val="20"/>
        </w:rPr>
        <w:t xml:space="preserve">3) затраты на государственную пошлину и иные обязательные платежи на получение в том числе государственных услуг;</w:t>
      </w:r>
    </w:p>
    <w:p>
      <w:pPr>
        <w:pStyle w:val="0"/>
        <w:spacing w:before="200" w:lineRule="auto"/>
        <w:ind w:firstLine="540"/>
        <w:jc w:val="both"/>
      </w:pPr>
      <w:r>
        <w:rPr>
          <w:sz w:val="20"/>
        </w:rPr>
        <w:t xml:space="preserve">4) расходные материалы на выполнение требования.</w:t>
      </w:r>
    </w:p>
    <w:p>
      <w:pPr>
        <w:pStyle w:val="0"/>
        <w:spacing w:before="200" w:lineRule="auto"/>
        <w:ind w:firstLine="540"/>
        <w:jc w:val="both"/>
      </w:pPr>
      <w:r>
        <w:rPr>
          <w:sz w:val="20"/>
        </w:rPr>
        <w:t xml:space="preserve">18. В перечень приобретений для выполнения информационных требований не включаются:</w:t>
      </w:r>
    </w:p>
    <w:p>
      <w:pPr>
        <w:pStyle w:val="0"/>
        <w:spacing w:before="200" w:lineRule="auto"/>
        <w:ind w:firstLine="540"/>
        <w:jc w:val="both"/>
      </w:pPr>
      <w:r>
        <w:rPr>
          <w:sz w:val="20"/>
        </w:rPr>
        <w:t xml:space="preserve">1) товары, работы, услуги общего назначения, приобретение которых учитывается в составе накладных расходов, в том числе оргтехника, мебель, услуги информационно-телекоммуникационной сети "Интернет", коммунальные услуги;</w:t>
      </w:r>
    </w:p>
    <w:p>
      <w:pPr>
        <w:pStyle w:val="0"/>
        <w:spacing w:before="200" w:lineRule="auto"/>
        <w:ind w:firstLine="540"/>
        <w:jc w:val="both"/>
      </w:pPr>
      <w:r>
        <w:rPr>
          <w:sz w:val="20"/>
        </w:rPr>
        <w:t xml:space="preserve">2) товары, работы, услуги, имеющие несущественную стоимость по сравнению с затратами рабочего времени на исполнение информационного элемента (доля стоимости данных товаров, работ и услуг менее 5% от затрат рабочего времени в денежном выражении).</w:t>
      </w:r>
    </w:p>
    <w:p>
      <w:pPr>
        <w:pStyle w:val="0"/>
        <w:spacing w:before="200" w:lineRule="auto"/>
        <w:ind w:firstLine="540"/>
        <w:jc w:val="both"/>
      </w:pPr>
      <w:r>
        <w:rPr>
          <w:sz w:val="20"/>
        </w:rPr>
        <w:t xml:space="preserve">19. Процесс определения стоимости приобретений, необходимых для выполнения информационных требований, включает следующие этапы:</w:t>
      </w:r>
    </w:p>
    <w:p>
      <w:pPr>
        <w:pStyle w:val="0"/>
        <w:spacing w:before="200" w:lineRule="auto"/>
        <w:ind w:firstLine="540"/>
        <w:jc w:val="both"/>
      </w:pPr>
      <w:r>
        <w:rPr>
          <w:sz w:val="20"/>
        </w:rPr>
        <w:t xml:space="preserve">1) определение по каждому информационному элементу затрат на приобретения;</w:t>
      </w:r>
    </w:p>
    <w:p>
      <w:pPr>
        <w:pStyle w:val="0"/>
        <w:spacing w:before="200" w:lineRule="auto"/>
        <w:ind w:firstLine="540"/>
        <w:jc w:val="both"/>
      </w:pPr>
      <w:r>
        <w:rPr>
          <w:sz w:val="20"/>
        </w:rPr>
        <w:t xml:space="preserve">2) определение по каждому информационному требованию затрат на приобретения, которые необходимо осуществить для его выполнения, с учетом показателя объекта расчетов и частоты каждого входящего в него информационного элемента.</w:t>
      </w:r>
    </w:p>
    <w:p>
      <w:pPr>
        <w:pStyle w:val="0"/>
        <w:spacing w:before="200" w:lineRule="auto"/>
        <w:ind w:firstLine="540"/>
        <w:jc w:val="both"/>
      </w:pPr>
      <w:r>
        <w:rPr>
          <w:sz w:val="20"/>
        </w:rPr>
        <w:t xml:space="preserve">20. На первом этапе по каждому информационному элементу определяется перечень приобретений, необходимых для его выполнения, и их стоимость.</w:t>
      </w:r>
    </w:p>
    <w:p>
      <w:pPr>
        <w:pStyle w:val="0"/>
        <w:spacing w:before="200" w:lineRule="auto"/>
        <w:ind w:firstLine="540"/>
        <w:jc w:val="both"/>
      </w:pPr>
      <w:r>
        <w:rPr>
          <w:sz w:val="20"/>
        </w:rPr>
        <w:t xml:space="preserve">В случае если приобретение относится сразу ко всем или к нескольким информационным элементам в рамках одного информационного требования, приобретение указывается только для одного информационного элемента.</w:t>
      </w:r>
    </w:p>
    <w:p>
      <w:pPr>
        <w:pStyle w:val="0"/>
        <w:spacing w:before="200" w:lineRule="auto"/>
        <w:ind w:firstLine="540"/>
        <w:jc w:val="both"/>
      </w:pPr>
      <w:r>
        <w:rPr>
          <w:sz w:val="20"/>
        </w:rPr>
        <w:t xml:space="preserve">21. Расчет стоимости приобретений, необходимых для представления информационных элементов (кроме государственных пошлин и иных обязательных платежей), осуществляется следующим образом (А</w:t>
      </w:r>
      <w:r>
        <w:rPr>
          <w:sz w:val="20"/>
          <w:vertAlign w:val="subscript"/>
        </w:rPr>
        <w:t xml:space="preserve">ИЭ</w:t>
      </w:r>
      <w:r>
        <w:rPr>
          <w:sz w:val="20"/>
        </w:rPr>
        <w:t xml:space="preserve">) (рублей):</w:t>
      </w:r>
    </w:p>
    <w:p>
      <w:pPr>
        <w:pStyle w:val="0"/>
        <w:jc w:val="both"/>
      </w:pPr>
      <w:r>
        <w:rPr>
          <w:sz w:val="20"/>
        </w:rPr>
      </w:r>
    </w:p>
    <w:p>
      <w:pPr>
        <w:pStyle w:val="0"/>
        <w:jc w:val="center"/>
      </w:pPr>
      <w:r>
        <w:rPr>
          <w:position w:val="-23"/>
        </w:rPr>
        <w:drawing>
          <wp:inline distT="0" distB="0" distL="0" distR="0">
            <wp:extent cx="1057275"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a:extLst>
                        <a:ext uri="{28A0092B-C50C-407E-A947-70E740481C1C}">
                          <a14:useLocalDpi xmlns:a14="http://schemas.microsoft.com/office/drawing/2010/main" val="0"/>
                        </a:ext>
                      </a:extLst>
                    </a:blip>
                    <a:srcRect/>
                    <a:stretch>
                      <a:fillRect/>
                    </a:stretch>
                  </pic:blipFill>
                  <pic:spPr bwMode="auto">
                    <a:xfrm>
                      <a:off x="0" y="0"/>
                      <a:ext cx="1057275"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МР - средняя рыночная цена на соответствующий товар (рублей);</w:t>
      </w:r>
    </w:p>
    <w:p>
      <w:pPr>
        <w:pStyle w:val="0"/>
        <w:spacing w:before="200" w:lineRule="auto"/>
        <w:ind w:firstLine="540"/>
        <w:jc w:val="both"/>
      </w:pPr>
      <w:r>
        <w:rPr>
          <w:sz w:val="20"/>
        </w:rPr>
        <w:t xml:space="preserve">n - нормативное число лет службы приобретения (для работ/услуг и расходных материалов n = 1);</w:t>
      </w:r>
    </w:p>
    <w:p>
      <w:pPr>
        <w:pStyle w:val="0"/>
        <w:spacing w:before="200" w:lineRule="auto"/>
        <w:ind w:firstLine="540"/>
        <w:jc w:val="both"/>
      </w:pPr>
      <w:r>
        <w:rPr>
          <w:sz w:val="20"/>
        </w:rPr>
        <w:t xml:space="preserve">q - ожидаемое число использований приобретения за календарный год для осуществления информационного требования.</w:t>
      </w:r>
    </w:p>
    <w:p>
      <w:pPr>
        <w:pStyle w:val="0"/>
        <w:spacing w:before="200" w:lineRule="auto"/>
        <w:ind w:firstLine="540"/>
        <w:jc w:val="both"/>
      </w:pPr>
      <w:r>
        <w:rPr>
          <w:sz w:val="20"/>
        </w:rPr>
        <w:t xml:space="preserve">22. На втором этапе по каждому информационному требованию определяются затраты на приобретения, которые необходимо осуществить для его выполнения, путем суммирования затрат на приобретения по каждому информационному элементу, с учетом показателей объекта расчетов и частоты, рассчитанных на предыдущих этапах с учетом инфляции.</w:t>
      </w:r>
    </w:p>
    <w:p>
      <w:pPr>
        <w:pStyle w:val="0"/>
        <w:spacing w:before="200" w:lineRule="auto"/>
        <w:ind w:firstLine="540"/>
        <w:jc w:val="both"/>
      </w:pPr>
      <w:r>
        <w:rPr>
          <w:sz w:val="20"/>
        </w:rPr>
        <w:t xml:space="preserve">23. В целях расчета совокупных информационных издержек по всем информационным требованиям суммируются трудозатраты и приобретения, необходимые для выполнения всех информационных требований, в денежном выражении с учетом показателей объекта расчетов и частоты информационных требований.</w:t>
      </w:r>
    </w:p>
    <w:p>
      <w:pPr>
        <w:pStyle w:val="0"/>
        <w:spacing w:before="200" w:lineRule="auto"/>
        <w:ind w:firstLine="540"/>
        <w:jc w:val="both"/>
      </w:pPr>
      <w:r>
        <w:rPr>
          <w:sz w:val="20"/>
        </w:rPr>
        <w:t xml:space="preserve">24. Процесс определения суммы информационных издержек по всем информационным требованиям акта, проекта акта в указанных выше случаях включает следующие этапы:</w:t>
      </w:r>
    </w:p>
    <w:p>
      <w:pPr>
        <w:pStyle w:val="0"/>
        <w:spacing w:before="200" w:lineRule="auto"/>
        <w:ind w:firstLine="540"/>
        <w:jc w:val="both"/>
      </w:pPr>
      <w:r>
        <w:rPr>
          <w:sz w:val="20"/>
        </w:rPr>
        <w:t xml:space="preserve">1) расчет информационных издержек выполнения каждого информационного требования с учетом показателей объекта расчетов и частоты каждого входящего в него информационного элемента;</w:t>
      </w:r>
    </w:p>
    <w:p>
      <w:pPr>
        <w:pStyle w:val="0"/>
        <w:spacing w:before="200" w:lineRule="auto"/>
        <w:ind w:firstLine="540"/>
        <w:jc w:val="both"/>
      </w:pPr>
      <w:r>
        <w:rPr>
          <w:sz w:val="20"/>
        </w:rPr>
        <w:t xml:space="preserve">2) расчет суммы информационных издержек по всем информационным требованиям акта, проекта акта.</w:t>
      </w:r>
    </w:p>
    <w:p>
      <w:pPr>
        <w:pStyle w:val="0"/>
        <w:spacing w:before="200" w:lineRule="auto"/>
        <w:ind w:firstLine="540"/>
        <w:jc w:val="both"/>
      </w:pPr>
      <w:r>
        <w:rPr>
          <w:sz w:val="20"/>
        </w:rPr>
        <w:t xml:space="preserve">На первом этапе рассчитываются информационные издержки по выполнению каждого информационного требования (И</w:t>
      </w:r>
      <w:r>
        <w:rPr>
          <w:sz w:val="20"/>
          <w:vertAlign w:val="subscript"/>
        </w:rPr>
        <w:t xml:space="preserve">ИТ</w:t>
      </w:r>
      <w:r>
        <w:rPr>
          <w:sz w:val="20"/>
        </w:rPr>
        <w:t xml:space="preserve">) (рублей):</w:t>
      </w:r>
    </w:p>
    <w:p>
      <w:pPr>
        <w:pStyle w:val="0"/>
        <w:jc w:val="both"/>
      </w:pPr>
      <w:r>
        <w:rPr>
          <w:sz w:val="20"/>
        </w:rPr>
      </w:r>
    </w:p>
    <w:p>
      <w:pPr>
        <w:pStyle w:val="0"/>
        <w:jc w:val="center"/>
      </w:pPr>
      <w:r>
        <w:rPr>
          <w:sz w:val="20"/>
        </w:rPr>
        <w:t xml:space="preserve">И</w:t>
      </w:r>
      <w:r>
        <w:rPr>
          <w:sz w:val="20"/>
          <w:vertAlign w:val="subscript"/>
        </w:rPr>
        <w:t xml:space="preserve">ИТ</w:t>
      </w:r>
      <w:r>
        <w:rPr>
          <w:sz w:val="20"/>
        </w:rPr>
        <w:t xml:space="preserve"> = t</w:t>
      </w:r>
      <w:r>
        <w:rPr>
          <w:sz w:val="20"/>
          <w:vertAlign w:val="subscript"/>
        </w:rPr>
        <w:t xml:space="preserve">ИТ</w:t>
      </w:r>
      <w:r>
        <w:rPr>
          <w:sz w:val="20"/>
        </w:rPr>
        <w:t xml:space="preserve"> x W x k + А</w:t>
      </w:r>
      <w:r>
        <w:rPr>
          <w:sz w:val="20"/>
          <w:vertAlign w:val="subscript"/>
        </w:rPr>
        <w:t xml:space="preserve">ИТ</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ИТ</w:t>
      </w:r>
      <w:r>
        <w:rPr>
          <w:sz w:val="20"/>
        </w:rPr>
        <w:t xml:space="preserve"> - затраты рабочего времени в часах, полученные на этапе определения затрат рабочего времени, необходимых на выполнение информационных требований, на выполнение каждого информационного требования, с учетом показателей числа объектов расчетов и частоты (часов);</w:t>
      </w:r>
    </w:p>
    <w:p>
      <w:pPr>
        <w:pStyle w:val="0"/>
        <w:spacing w:before="200" w:lineRule="auto"/>
        <w:ind w:firstLine="540"/>
        <w:jc w:val="both"/>
      </w:pPr>
      <w:r>
        <w:rPr>
          <w:sz w:val="20"/>
        </w:rPr>
        <w:t xml:space="preserve">W - средняя стоимость часа работы персонала, занятого выполнением действий, необходимых для выполнения требований (включая стоимость оплаты труда, налоги и прочие обязательные платежи, накладные расходы);</w:t>
      </w:r>
    </w:p>
    <w:p>
      <w:pPr>
        <w:pStyle w:val="0"/>
        <w:spacing w:before="200" w:lineRule="auto"/>
        <w:ind w:firstLine="540"/>
        <w:jc w:val="both"/>
      </w:pPr>
      <w:r>
        <w:rPr>
          <w:sz w:val="20"/>
        </w:rPr>
        <w:t xml:space="preserve">k - коэффициент налоговых отчислений и иных обязательных платежей, связанных с оплатой труда штатных работников (единиц);</w:t>
      </w:r>
    </w:p>
    <w:p>
      <w:pPr>
        <w:pStyle w:val="0"/>
        <w:spacing w:before="200" w:lineRule="auto"/>
        <w:ind w:firstLine="540"/>
        <w:jc w:val="both"/>
      </w:pPr>
      <w:r>
        <w:rPr>
          <w:sz w:val="20"/>
        </w:rPr>
        <w:t xml:space="preserve">А</w:t>
      </w:r>
      <w:r>
        <w:rPr>
          <w:sz w:val="20"/>
          <w:vertAlign w:val="subscript"/>
        </w:rPr>
        <w:t xml:space="preserve">ИТ</w:t>
      </w:r>
      <w:r>
        <w:rPr>
          <w:sz w:val="20"/>
        </w:rPr>
        <w:t xml:space="preserve"> - стоимость приобретений, необходимых для выполнения информационного требования, с учетом показателей объекта расчетов и частоты (рублей).</w:t>
      </w:r>
    </w:p>
    <w:p>
      <w:pPr>
        <w:pStyle w:val="0"/>
        <w:spacing w:before="200" w:lineRule="auto"/>
        <w:ind w:firstLine="540"/>
        <w:jc w:val="both"/>
      </w:pPr>
      <w:r>
        <w:rPr>
          <w:sz w:val="20"/>
        </w:rPr>
        <w:t xml:space="preserve">25. Размер коэффициента налоговых отчислений и иных обязательных платежей (k), связанных с оплатой труда работников, в общем случае принимается равным 1,302. Для компаний, осуществляющих деятельность в области информационных технологий (</w:t>
      </w:r>
      <w:hyperlink w:history="0" r:id="rId62" w:tooltip="&quot;ОК 029-2014 (КДЕС Ред. 2). Общероссийский классификатор видов экономической деятельности&quot; (утв. Приказом Росстандарта от 31.01.2014 N 14-ст) (ред. от 11.09.2025) {КонсультантПлюс}">
        <w:r>
          <w:rPr>
            <w:sz w:val="20"/>
            <w:color w:val="0000ff"/>
          </w:rPr>
          <w:t xml:space="preserve">класс 63</w:t>
        </w:r>
      </w:hyperlink>
      <w:r>
        <w:rPr>
          <w:sz w:val="20"/>
        </w:rPr>
        <w:t xml:space="preserve"> "Деятельность в области информационных технологий" Общероссийского классификатора видов экономической деятельности), коэффициент отчислений принимается равным 1,076.</w:t>
      </w:r>
    </w:p>
    <w:p>
      <w:pPr>
        <w:pStyle w:val="0"/>
        <w:spacing w:before="200" w:lineRule="auto"/>
        <w:ind w:firstLine="540"/>
        <w:jc w:val="both"/>
      </w:pPr>
      <w:r>
        <w:rPr>
          <w:sz w:val="20"/>
        </w:rPr>
        <w:t xml:space="preserve">26. На втором этапе рассчитывается сумма информационных издержек по всем информационным требованиям акта, проекта акта за календарный год с учетом инфляции.</w:t>
      </w:r>
    </w:p>
    <w:p>
      <w:pPr>
        <w:pStyle w:val="0"/>
        <w:jc w:val="both"/>
      </w:pPr>
      <w:r>
        <w:rPr>
          <w:sz w:val="20"/>
        </w:rPr>
      </w:r>
    </w:p>
    <w:p>
      <w:pPr>
        <w:pStyle w:val="2"/>
        <w:outlineLvl w:val="2"/>
        <w:jc w:val="center"/>
      </w:pPr>
      <w:r>
        <w:rPr>
          <w:sz w:val="20"/>
        </w:rPr>
        <w:t xml:space="preserve">Глава 3. МЕТОДОЛОГИЯ РАСЧЕТА СОДЕРЖАТЕЛЬНЫХ ИЗДЕРЖЕК</w:t>
      </w:r>
    </w:p>
    <w:p>
      <w:pPr>
        <w:pStyle w:val="0"/>
        <w:jc w:val="both"/>
      </w:pPr>
      <w:r>
        <w:rPr>
          <w:sz w:val="20"/>
        </w:rPr>
      </w:r>
    </w:p>
    <w:p>
      <w:pPr>
        <w:pStyle w:val="0"/>
        <w:ind w:firstLine="540"/>
        <w:jc w:val="both"/>
      </w:pPr>
      <w:r>
        <w:rPr>
          <w:sz w:val="20"/>
        </w:rPr>
        <w:t xml:space="preserve">27. Проведение оценки содержательных издержек предполагает последовательную реализацию следующих этапов:</w:t>
      </w:r>
    </w:p>
    <w:p>
      <w:pPr>
        <w:pStyle w:val="0"/>
        <w:spacing w:before="200" w:lineRule="auto"/>
        <w:ind w:firstLine="540"/>
        <w:jc w:val="both"/>
      </w:pPr>
      <w:r>
        <w:rPr>
          <w:sz w:val="20"/>
        </w:rPr>
        <w:t xml:space="preserve">1) выделение содержательных требований из текста акта, проекта акта;</w:t>
      </w:r>
    </w:p>
    <w:p>
      <w:pPr>
        <w:pStyle w:val="0"/>
        <w:spacing w:before="200" w:lineRule="auto"/>
        <w:ind w:firstLine="540"/>
        <w:jc w:val="both"/>
      </w:pPr>
      <w:r>
        <w:rPr>
          <w:sz w:val="20"/>
        </w:rPr>
        <w:t xml:space="preserve">2) определение показателя объекта расчетов содержательных требований;</w:t>
      </w:r>
    </w:p>
    <w:p>
      <w:pPr>
        <w:pStyle w:val="0"/>
        <w:spacing w:before="200" w:lineRule="auto"/>
        <w:ind w:firstLine="540"/>
        <w:jc w:val="both"/>
      </w:pPr>
      <w:r>
        <w:rPr>
          <w:sz w:val="20"/>
        </w:rPr>
        <w:t xml:space="preserve">3) определение частоты выполнения содержательных требований;</w:t>
      </w:r>
    </w:p>
    <w:p>
      <w:pPr>
        <w:pStyle w:val="0"/>
        <w:spacing w:before="200" w:lineRule="auto"/>
        <w:ind w:firstLine="540"/>
        <w:jc w:val="both"/>
      </w:pPr>
      <w:r>
        <w:rPr>
          <w:sz w:val="20"/>
        </w:rPr>
        <w:t xml:space="preserve">4) определение затрат рабочего времени, необходимого на выполнение содержательных требований;</w:t>
      </w:r>
    </w:p>
    <w:p>
      <w:pPr>
        <w:pStyle w:val="0"/>
        <w:spacing w:before="200" w:lineRule="auto"/>
        <w:ind w:firstLine="540"/>
        <w:jc w:val="both"/>
      </w:pPr>
      <w:r>
        <w:rPr>
          <w:sz w:val="20"/>
        </w:rPr>
        <w:t xml:space="preserve">5) определение стоимости приобретений, необходимых для выполнения содержательных требований;</w:t>
      </w:r>
    </w:p>
    <w:p>
      <w:pPr>
        <w:pStyle w:val="0"/>
        <w:spacing w:before="200" w:lineRule="auto"/>
        <w:ind w:firstLine="540"/>
        <w:jc w:val="both"/>
      </w:pPr>
      <w:r>
        <w:rPr>
          <w:sz w:val="20"/>
        </w:rPr>
        <w:t xml:space="preserve">6) расчет суммы содержательных издержек.</w:t>
      </w:r>
    </w:p>
    <w:p>
      <w:pPr>
        <w:pStyle w:val="0"/>
        <w:spacing w:before="200" w:lineRule="auto"/>
        <w:ind w:firstLine="540"/>
        <w:jc w:val="both"/>
      </w:pPr>
      <w:r>
        <w:rPr>
          <w:sz w:val="20"/>
        </w:rPr>
        <w:t xml:space="preserve">28. В процессе выделения содержательных требований из текста акта, проекта акта устанавливаются требования к субъектам предпринимательской и иной экономической деятельности, не связанные с представлением информации либо обеспечением условий для ее беспрепятственного получения уполномоченными органами.</w:t>
      </w:r>
    </w:p>
    <w:p>
      <w:pPr>
        <w:pStyle w:val="0"/>
        <w:spacing w:before="200" w:lineRule="auto"/>
        <w:ind w:firstLine="540"/>
        <w:jc w:val="both"/>
      </w:pPr>
      <w:r>
        <w:rPr>
          <w:sz w:val="20"/>
        </w:rPr>
        <w:t xml:space="preserve">29. Процесс выделения содержательных требований включает в себя поиск разовых и периодических содержательных требований, указанных в тексте акта, проекта акта, которые удовлетворяют всем следующим условиям:</w:t>
      </w:r>
    </w:p>
    <w:p>
      <w:pPr>
        <w:pStyle w:val="0"/>
        <w:spacing w:before="200" w:lineRule="auto"/>
        <w:ind w:firstLine="540"/>
        <w:jc w:val="both"/>
      </w:pPr>
      <w:r>
        <w:rPr>
          <w:sz w:val="20"/>
        </w:rPr>
        <w:t xml:space="preserve">1) распространяются на субъекты предпринимательской и иной экономической деятельности;</w:t>
      </w:r>
    </w:p>
    <w:p>
      <w:pPr>
        <w:pStyle w:val="0"/>
        <w:spacing w:before="200" w:lineRule="auto"/>
        <w:ind w:firstLine="540"/>
        <w:jc w:val="both"/>
      </w:pPr>
      <w:r>
        <w:rPr>
          <w:sz w:val="20"/>
        </w:rPr>
        <w:t xml:space="preserve">2) не являются информационными требованиями.</w:t>
      </w:r>
    </w:p>
    <w:p>
      <w:pPr>
        <w:pStyle w:val="0"/>
        <w:spacing w:before="200" w:lineRule="auto"/>
        <w:ind w:firstLine="540"/>
        <w:jc w:val="both"/>
      </w:pPr>
      <w:r>
        <w:rPr>
          <w:sz w:val="20"/>
        </w:rPr>
        <w:t xml:space="preserve">Наиболее распространенными типами содержательных требований являются:</w:t>
      </w:r>
    </w:p>
    <w:p>
      <w:pPr>
        <w:pStyle w:val="0"/>
        <w:spacing w:before="200" w:lineRule="auto"/>
        <w:ind w:firstLine="540"/>
        <w:jc w:val="both"/>
      </w:pPr>
      <w:r>
        <w:rPr>
          <w:sz w:val="20"/>
        </w:rPr>
        <w:t xml:space="preserve">1) приобретение (установка и обслуживание) оборудования;</w:t>
      </w:r>
    </w:p>
    <w:p>
      <w:pPr>
        <w:pStyle w:val="0"/>
        <w:spacing w:before="200" w:lineRule="auto"/>
        <w:ind w:firstLine="540"/>
        <w:jc w:val="both"/>
      </w:pPr>
      <w:r>
        <w:rPr>
          <w:sz w:val="20"/>
        </w:rPr>
        <w:t xml:space="preserve">2) наем дополнительного персонала;</w:t>
      </w:r>
    </w:p>
    <w:p>
      <w:pPr>
        <w:pStyle w:val="0"/>
        <w:spacing w:before="200" w:lineRule="auto"/>
        <w:ind w:firstLine="540"/>
        <w:jc w:val="both"/>
      </w:pPr>
      <w:r>
        <w:rPr>
          <w:sz w:val="20"/>
        </w:rPr>
        <w:t xml:space="preserve">3) заказ (предоставление) услуг.</w:t>
      </w:r>
    </w:p>
    <w:p>
      <w:pPr>
        <w:pStyle w:val="0"/>
        <w:spacing w:before="200" w:lineRule="auto"/>
        <w:ind w:firstLine="540"/>
        <w:jc w:val="both"/>
      </w:pPr>
      <w:r>
        <w:rPr>
          <w:sz w:val="20"/>
        </w:rPr>
        <w:t xml:space="preserve">30. В целях определения объекта расчетов содержательного требования устанавливается количество объектов (организаций, сотрудников, событий), на которые направлено регулирование с точки зрения необходимости выполнения содержательного требования.</w:t>
      </w:r>
    </w:p>
    <w:p>
      <w:pPr>
        <w:pStyle w:val="0"/>
        <w:spacing w:before="200" w:lineRule="auto"/>
        <w:ind w:firstLine="540"/>
        <w:jc w:val="both"/>
      </w:pPr>
      <w:r>
        <w:rPr>
          <w:sz w:val="20"/>
        </w:rPr>
        <w:t xml:space="preserve">Значения показателей объекта расчетов содержательных требований определяются в соответствии с </w:t>
      </w:r>
      <w:hyperlink w:history="0" w:anchor="P549" w:tooltip="11. В целях определения объекта расчетов информационного требования (информационного элемента) необходимо установить количество объектов (организаций, сотрудников, событий), на которых направлено регулирование с точки зрения необходимости выполнения информационного требования (представления информационного элемента).">
        <w:r>
          <w:rPr>
            <w:sz w:val="20"/>
            <w:color w:val="0000ff"/>
          </w:rPr>
          <w:t xml:space="preserve">11</w:t>
        </w:r>
      </w:hyperlink>
      <w:r>
        <w:rPr>
          <w:sz w:val="20"/>
        </w:rPr>
        <w:t xml:space="preserve"> настоящей методики.</w:t>
      </w:r>
    </w:p>
    <w:p>
      <w:pPr>
        <w:pStyle w:val="0"/>
        <w:spacing w:before="200" w:lineRule="auto"/>
        <w:ind w:firstLine="540"/>
        <w:jc w:val="both"/>
      </w:pPr>
      <w:r>
        <w:rPr>
          <w:sz w:val="20"/>
        </w:rPr>
        <w:t xml:space="preserve">31. В целях определения частоты выполнения содержательного требования устанавливается количество выполнений содержательного требования за календарный год.</w:t>
      </w:r>
    </w:p>
    <w:p>
      <w:pPr>
        <w:pStyle w:val="0"/>
        <w:spacing w:before="200" w:lineRule="auto"/>
        <w:ind w:firstLine="540"/>
        <w:jc w:val="both"/>
      </w:pPr>
      <w:r>
        <w:rPr>
          <w:sz w:val="20"/>
        </w:rPr>
        <w:t xml:space="preserve">Значения показателей частоты содержательных требований определяются в соответствии с </w:t>
      </w:r>
      <w:hyperlink w:history="0" w:anchor="P551" w:tooltip="12. При определении частоты выполнения информационного требования (представления информационного элемента) устанавливается количество выполнений информационного требования (представлений информационных элементов) за календарный год.">
        <w:r>
          <w:rPr>
            <w:sz w:val="20"/>
            <w:color w:val="0000ff"/>
          </w:rPr>
          <w:t xml:space="preserve">пунктом 12</w:t>
        </w:r>
      </w:hyperlink>
      <w:r>
        <w:rPr>
          <w:sz w:val="20"/>
        </w:rPr>
        <w:t xml:space="preserve"> настоящей методики.</w:t>
      </w:r>
    </w:p>
    <w:p>
      <w:pPr>
        <w:pStyle w:val="0"/>
        <w:spacing w:before="200" w:lineRule="auto"/>
        <w:ind w:firstLine="540"/>
        <w:jc w:val="both"/>
      </w:pPr>
      <w:r>
        <w:rPr>
          <w:sz w:val="20"/>
        </w:rPr>
        <w:t xml:space="preserve">32. Процесс определения затрат рабочего времени, необходимого на выполнение содержательных требований, включает следующие этапы:</w:t>
      </w:r>
    </w:p>
    <w:p>
      <w:pPr>
        <w:pStyle w:val="0"/>
        <w:spacing w:before="200" w:lineRule="auto"/>
        <w:ind w:firstLine="540"/>
        <w:jc w:val="both"/>
      </w:pPr>
      <w:r>
        <w:rPr>
          <w:sz w:val="20"/>
        </w:rPr>
        <w:t xml:space="preserve">1) определение по каждому содержательному требованию действий, которые необходимо осуществить для его выполнения;</w:t>
      </w:r>
    </w:p>
    <w:p>
      <w:pPr>
        <w:pStyle w:val="0"/>
        <w:spacing w:before="200" w:lineRule="auto"/>
        <w:ind w:firstLine="540"/>
        <w:jc w:val="both"/>
      </w:pPr>
      <w:r>
        <w:rPr>
          <w:sz w:val="20"/>
        </w:rPr>
        <w:t xml:space="preserve">2) оценка затрат рабочего времени по действиям, которые необходимо осуществить для выполнения содержательных требований;</w:t>
      </w:r>
    </w:p>
    <w:p>
      <w:pPr>
        <w:pStyle w:val="0"/>
        <w:spacing w:before="200" w:lineRule="auto"/>
        <w:ind w:firstLine="540"/>
        <w:jc w:val="both"/>
      </w:pPr>
      <w:r>
        <w:rPr>
          <w:sz w:val="20"/>
        </w:rPr>
        <w:t xml:space="preserve">3) определение совокупных затрат рабочего времени на выполнение каждого содержательного требования с учетом показателя объекта расчетов и частоты.</w:t>
      </w:r>
    </w:p>
    <w:p>
      <w:pPr>
        <w:pStyle w:val="0"/>
        <w:spacing w:before="200" w:lineRule="auto"/>
        <w:ind w:firstLine="540"/>
        <w:jc w:val="both"/>
      </w:pPr>
      <w:r>
        <w:rPr>
          <w:sz w:val="20"/>
        </w:rPr>
        <w:t xml:space="preserve">33. На первом этапе по каждому содержательному требованию определяются действия, которые необходимо осуществить для его выполнения.</w:t>
      </w:r>
    </w:p>
    <w:p>
      <w:pPr>
        <w:pStyle w:val="0"/>
        <w:spacing w:before="200" w:lineRule="auto"/>
        <w:ind w:firstLine="540"/>
        <w:jc w:val="both"/>
      </w:pPr>
      <w:r>
        <w:rPr>
          <w:sz w:val="20"/>
        </w:rPr>
        <w:t xml:space="preserve">Могут быть выделены следующие блоки действий:</w:t>
      </w:r>
    </w:p>
    <w:p>
      <w:pPr>
        <w:pStyle w:val="0"/>
        <w:spacing w:before="200" w:lineRule="auto"/>
        <w:ind w:firstLine="540"/>
        <w:jc w:val="both"/>
      </w:pPr>
      <w:r>
        <w:rPr>
          <w:sz w:val="20"/>
        </w:rPr>
        <w:t xml:space="preserve">- поиск необходимых товаров, работ, услуг;</w:t>
      </w:r>
    </w:p>
    <w:p>
      <w:pPr>
        <w:pStyle w:val="0"/>
        <w:spacing w:before="200" w:lineRule="auto"/>
        <w:ind w:firstLine="540"/>
        <w:jc w:val="both"/>
      </w:pPr>
      <w:r>
        <w:rPr>
          <w:sz w:val="20"/>
        </w:rPr>
        <w:t xml:space="preserve">- согласование условий и заключение договора;</w:t>
      </w:r>
    </w:p>
    <w:p>
      <w:pPr>
        <w:pStyle w:val="0"/>
        <w:spacing w:before="200" w:lineRule="auto"/>
        <w:ind w:firstLine="540"/>
        <w:jc w:val="both"/>
      </w:pPr>
      <w:r>
        <w:rPr>
          <w:sz w:val="20"/>
        </w:rPr>
        <w:t xml:space="preserve">- установка приобретения;</w:t>
      </w:r>
    </w:p>
    <w:p>
      <w:pPr>
        <w:pStyle w:val="0"/>
        <w:spacing w:before="200" w:lineRule="auto"/>
        <w:ind w:firstLine="540"/>
        <w:jc w:val="both"/>
      </w:pPr>
      <w:r>
        <w:rPr>
          <w:sz w:val="20"/>
        </w:rPr>
        <w:t xml:space="preserve">- обслуживание приобретения.</w:t>
      </w:r>
    </w:p>
    <w:p>
      <w:pPr>
        <w:pStyle w:val="0"/>
        <w:spacing w:before="200" w:lineRule="auto"/>
        <w:ind w:firstLine="540"/>
        <w:jc w:val="both"/>
      </w:pPr>
      <w:r>
        <w:rPr>
          <w:sz w:val="20"/>
        </w:rPr>
        <w:t xml:space="preserve">На втором этапе производится оценка затрат рабочего времени на выполнение действий, необходимых для выполнения каждого содержательного требования. Затраты рабочего времени на выполнение действий определяются с помощью данных официальной статистики. В случае отсутствия требуемых искомых значений, они выявляются на основе формирования экспертной оценки.</w:t>
      </w:r>
    </w:p>
    <w:p>
      <w:pPr>
        <w:pStyle w:val="0"/>
        <w:spacing w:before="200" w:lineRule="auto"/>
        <w:ind w:firstLine="540"/>
        <w:jc w:val="both"/>
      </w:pPr>
      <w:r>
        <w:rPr>
          <w:sz w:val="20"/>
        </w:rPr>
        <w:t xml:space="preserve">На третьем этапе определяются затраты рабочего времени на выполнение каждого содержательного требования путем суммирования затрат рабочего времени по каждому действию, необходимому для его выполнения, с учетом показателей объекта расчетов и частоты, выявленных на предыдущих этапах.</w:t>
      </w:r>
    </w:p>
    <w:p>
      <w:pPr>
        <w:pStyle w:val="0"/>
        <w:spacing w:before="200" w:lineRule="auto"/>
        <w:ind w:firstLine="540"/>
        <w:jc w:val="both"/>
      </w:pPr>
      <w:r>
        <w:rPr>
          <w:sz w:val="20"/>
        </w:rPr>
        <w:t xml:space="preserve">34. В целях определения стоимости приобретений, необходимых для выполнения каждого содержательного требования, рекомендуется выявить перечень товаров, работ, услуг, обязательных для его выполнения.</w:t>
      </w:r>
    </w:p>
    <w:p>
      <w:pPr>
        <w:pStyle w:val="0"/>
        <w:spacing w:before="200" w:lineRule="auto"/>
        <w:ind w:firstLine="540"/>
        <w:jc w:val="both"/>
      </w:pPr>
      <w:r>
        <w:rPr>
          <w:sz w:val="20"/>
        </w:rPr>
        <w:t xml:space="preserve">В состав приобретений для выполнения содержательного требования также могут входить товары, работы, услуги, которые могут быть направлены не только на выполнение содержательного требования, но и на осуществление деятельности компании в целом.</w:t>
      </w:r>
    </w:p>
    <w:p>
      <w:pPr>
        <w:pStyle w:val="0"/>
        <w:spacing w:before="200" w:lineRule="auto"/>
        <w:ind w:firstLine="540"/>
        <w:jc w:val="both"/>
      </w:pPr>
      <w:r>
        <w:rPr>
          <w:sz w:val="20"/>
        </w:rPr>
        <w:t xml:space="preserve">35. В перечень приобретений, необходимых для выполнения содержательных требований, не включаются:</w:t>
      </w:r>
    </w:p>
    <w:p>
      <w:pPr>
        <w:pStyle w:val="0"/>
        <w:spacing w:before="200" w:lineRule="auto"/>
        <w:ind w:firstLine="540"/>
        <w:jc w:val="both"/>
      </w:pPr>
      <w:r>
        <w:rPr>
          <w:sz w:val="20"/>
        </w:rPr>
        <w:t xml:space="preserve">- товары, работы, услуги, имеющие несущественную стоимость по сравнению с затратами рабочего времени на исполнение информационного элемента (доля стоимости данных товаров, работ и услуг менее 5% от затрат рабочего времени, в денежном выражении);</w:t>
      </w:r>
    </w:p>
    <w:p>
      <w:pPr>
        <w:pStyle w:val="0"/>
        <w:spacing w:before="200" w:lineRule="auto"/>
        <w:ind w:firstLine="540"/>
        <w:jc w:val="both"/>
      </w:pPr>
      <w:r>
        <w:rPr>
          <w:sz w:val="20"/>
        </w:rPr>
        <w:t xml:space="preserve">- товары, работы, услуги, приобретение которых обусловлено выполнением требований нескольких актов.</w:t>
      </w:r>
    </w:p>
    <w:p>
      <w:pPr>
        <w:pStyle w:val="0"/>
        <w:spacing w:before="200" w:lineRule="auto"/>
        <w:ind w:firstLine="540"/>
        <w:jc w:val="both"/>
      </w:pPr>
      <w:r>
        <w:rPr>
          <w:sz w:val="20"/>
        </w:rPr>
        <w:t xml:space="preserve">36. В случае если приобретение относится сразу ко всем или к нескольким содержательным требованиям, приобретение указывается только для одного содержательного требования.</w:t>
      </w:r>
    </w:p>
    <w:p>
      <w:pPr>
        <w:pStyle w:val="0"/>
        <w:spacing w:before="200" w:lineRule="auto"/>
        <w:ind w:firstLine="540"/>
        <w:jc w:val="both"/>
      </w:pPr>
      <w:r>
        <w:rPr>
          <w:sz w:val="20"/>
        </w:rPr>
        <w:t xml:space="preserve">Стоимость приобретений, необходимых для выполнения содержательных требований по каждому приобретению, рассчитывается в соответствии с </w:t>
      </w:r>
      <w:hyperlink w:history="0" w:anchor="P561" w:tooltip="17. В целях определения затрат на приобретения, необходимые для выполнения каждого информационного требования, с учетом показателя объекта расчетов и частоты каждого входящего в него информационного элемента следует суммировать затраты на приобретения, необходимые для представления каждого информационного элемента.">
        <w:r>
          <w:rPr>
            <w:sz w:val="20"/>
            <w:color w:val="0000ff"/>
          </w:rPr>
          <w:t xml:space="preserve">пунктом 17</w:t>
        </w:r>
      </w:hyperlink>
      <w:r>
        <w:rPr>
          <w:sz w:val="20"/>
        </w:rPr>
        <w:t xml:space="preserve"> настоящей методики с учетом показателей объекта расчетов и частоты.</w:t>
      </w:r>
    </w:p>
    <w:p>
      <w:pPr>
        <w:pStyle w:val="0"/>
        <w:spacing w:before="200" w:lineRule="auto"/>
        <w:ind w:firstLine="540"/>
        <w:jc w:val="both"/>
      </w:pPr>
      <w:r>
        <w:rPr>
          <w:sz w:val="20"/>
        </w:rPr>
        <w:t xml:space="preserve">37. Сумма содержательных издержек по всем содержательным требованиям проекта акта рассчитывается как сумма трудозатрат и приобретений, необходимых для выполнения всех содержательных требований, в денежном выражении с учетом показателя объекта расчетов и частоты.</w:t>
      </w:r>
    </w:p>
    <w:p>
      <w:pPr>
        <w:pStyle w:val="0"/>
        <w:spacing w:before="200" w:lineRule="auto"/>
        <w:ind w:firstLine="540"/>
        <w:jc w:val="both"/>
      </w:pPr>
      <w:r>
        <w:rPr>
          <w:sz w:val="20"/>
        </w:rPr>
        <w:t xml:space="preserve">38. Процесс определения совокупных содержательных издержек по всем содержательным требованиям акта, проекта акта включает следующие этапы:</w:t>
      </w:r>
    </w:p>
    <w:p>
      <w:pPr>
        <w:pStyle w:val="0"/>
        <w:spacing w:before="200" w:lineRule="auto"/>
        <w:ind w:firstLine="540"/>
        <w:jc w:val="both"/>
      </w:pPr>
      <w:r>
        <w:rPr>
          <w:sz w:val="20"/>
        </w:rPr>
        <w:t xml:space="preserve">1) расчет содержательных издержек выполнения каждого содержательного требования с учетом показателя объекта расчетов и частоты;</w:t>
      </w:r>
    </w:p>
    <w:p>
      <w:pPr>
        <w:pStyle w:val="0"/>
        <w:spacing w:before="200" w:lineRule="auto"/>
        <w:ind w:firstLine="540"/>
        <w:jc w:val="both"/>
      </w:pPr>
      <w:r>
        <w:rPr>
          <w:sz w:val="20"/>
        </w:rPr>
        <w:t xml:space="preserve">2) расчет суммы содержательных издержек по всем содержательным требованиям акта, проекта акта за календарный год.</w:t>
      </w:r>
    </w:p>
    <w:p>
      <w:pPr>
        <w:pStyle w:val="0"/>
        <w:spacing w:before="200" w:lineRule="auto"/>
        <w:ind w:firstLine="540"/>
        <w:jc w:val="both"/>
      </w:pPr>
      <w:r>
        <w:rPr>
          <w:sz w:val="20"/>
        </w:rPr>
        <w:t xml:space="preserve">39. На первом этапе рассчитываются содержательные издержки по выполнению каждого содержательного требования (И</w:t>
      </w:r>
      <w:r>
        <w:rPr>
          <w:sz w:val="20"/>
          <w:vertAlign w:val="subscript"/>
        </w:rPr>
        <w:t xml:space="preserve">С</w:t>
      </w:r>
      <w:r>
        <w:rPr>
          <w:sz w:val="20"/>
        </w:rPr>
        <w:t xml:space="preserve">) (рублей):</w:t>
      </w:r>
    </w:p>
    <w:p>
      <w:pPr>
        <w:pStyle w:val="0"/>
        <w:jc w:val="both"/>
      </w:pPr>
      <w:r>
        <w:rPr>
          <w:sz w:val="20"/>
        </w:rPr>
      </w:r>
    </w:p>
    <w:p>
      <w:pPr>
        <w:pStyle w:val="0"/>
        <w:jc w:val="center"/>
      </w:pPr>
      <w:r>
        <w:rPr>
          <w:sz w:val="20"/>
        </w:rPr>
        <w:t xml:space="preserve">И</w:t>
      </w:r>
      <w:r>
        <w:rPr>
          <w:sz w:val="20"/>
          <w:vertAlign w:val="subscript"/>
        </w:rPr>
        <w:t xml:space="preserve">С</w:t>
      </w:r>
      <w:r>
        <w:rPr>
          <w:sz w:val="20"/>
        </w:rPr>
        <w:t xml:space="preserve"> = t</w:t>
      </w:r>
      <w:r>
        <w:rPr>
          <w:sz w:val="20"/>
          <w:vertAlign w:val="subscript"/>
        </w:rPr>
        <w:t xml:space="preserve">С</w:t>
      </w:r>
      <w:r>
        <w:rPr>
          <w:sz w:val="20"/>
        </w:rPr>
        <w:t xml:space="preserve"> x W + А</w:t>
      </w:r>
      <w:r>
        <w:rPr>
          <w:sz w:val="20"/>
          <w:vertAlign w:val="subscript"/>
        </w:rPr>
        <w:t xml:space="preserve">С</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С</w:t>
      </w:r>
      <w:r>
        <w:rPr>
          <w:sz w:val="20"/>
        </w:rPr>
        <w:t xml:space="preserve"> - затраты рабочего времени в часах, полученные на четвертом этапе, на выполнение каждого содержательного требования с учетом показателя объекта расчетов и частоты (часов);</w:t>
      </w:r>
    </w:p>
    <w:p>
      <w:pPr>
        <w:pStyle w:val="0"/>
        <w:spacing w:before="200" w:lineRule="auto"/>
        <w:ind w:firstLine="540"/>
        <w:jc w:val="both"/>
      </w:pPr>
      <w:r>
        <w:rPr>
          <w:sz w:val="20"/>
        </w:rPr>
        <w:t xml:space="preserve">W - средняя стоимость часа работы персонала, занятого выполнением действий, необходимых для выполнения требований (включая стоимость оплаты труда, налоги и прочие обязательные платежи, накладные расходы) (рублей);</w:t>
      </w:r>
    </w:p>
    <w:p>
      <w:pPr>
        <w:pStyle w:val="0"/>
        <w:spacing w:before="200" w:lineRule="auto"/>
        <w:ind w:firstLine="540"/>
        <w:jc w:val="both"/>
      </w:pPr>
      <w:r>
        <w:rPr>
          <w:sz w:val="20"/>
        </w:rPr>
        <w:t xml:space="preserve">А</w:t>
      </w:r>
      <w:r>
        <w:rPr>
          <w:sz w:val="20"/>
          <w:vertAlign w:val="subscript"/>
        </w:rPr>
        <w:t xml:space="preserve">С</w:t>
      </w:r>
      <w:r>
        <w:rPr>
          <w:sz w:val="20"/>
        </w:rPr>
        <w:t xml:space="preserve"> - стоимость приобретений, полученных на пятом этапе, необходимых для выполнения содержательного требования, с учетом показателя объекта расчетов и частоты (рублей).</w:t>
      </w:r>
    </w:p>
    <w:p>
      <w:pPr>
        <w:pStyle w:val="0"/>
        <w:spacing w:before="200" w:lineRule="auto"/>
        <w:ind w:firstLine="540"/>
        <w:jc w:val="both"/>
      </w:pPr>
      <w:r>
        <w:rPr>
          <w:sz w:val="20"/>
        </w:rPr>
        <w:t xml:space="preserve">40. На втором этапе рассчитывается сумма содержательных издержек по всем содержательным требованиям акта, проекта акта за каждый календарный год с учетом инфляции.</w:t>
      </w:r>
    </w:p>
    <w:p>
      <w:pPr>
        <w:pStyle w:val="0"/>
        <w:jc w:val="both"/>
      </w:pPr>
      <w:r>
        <w:rPr>
          <w:sz w:val="20"/>
        </w:rPr>
      </w:r>
    </w:p>
    <w:p>
      <w:pPr>
        <w:pStyle w:val="2"/>
        <w:outlineLvl w:val="2"/>
        <w:jc w:val="center"/>
      </w:pPr>
      <w:r>
        <w:rPr>
          <w:sz w:val="20"/>
        </w:rPr>
        <w:t xml:space="preserve">Глава 4. МЕТОДОЛОГИЯ РАСЧЕТА ИЗДЕРЖЕК</w:t>
      </w:r>
    </w:p>
    <w:p>
      <w:pPr>
        <w:pStyle w:val="2"/>
        <w:jc w:val="center"/>
      </w:pPr>
      <w:r>
        <w:rPr>
          <w:sz w:val="20"/>
        </w:rPr>
        <w:t xml:space="preserve">ПРОСТОЯ И НЕДОПОЛУЧЕННОЙ ПРИБЫЛИ</w:t>
      </w:r>
    </w:p>
    <w:p>
      <w:pPr>
        <w:pStyle w:val="0"/>
        <w:jc w:val="both"/>
      </w:pPr>
      <w:r>
        <w:rPr>
          <w:sz w:val="20"/>
        </w:rPr>
      </w:r>
    </w:p>
    <w:p>
      <w:pPr>
        <w:pStyle w:val="0"/>
        <w:ind w:firstLine="540"/>
        <w:jc w:val="both"/>
      </w:pPr>
      <w:r>
        <w:rPr>
          <w:sz w:val="20"/>
        </w:rPr>
        <w:t xml:space="preserve">41. Простоем признается временная остановка экономически обоснованной деятельности субъекта предпринимательской или иной экономической деятельности, а также временное нарушение нормального течения производственных процессов, которое снижает экономическую эффективность деятельности и является прямым следствием выполнения субъектом действий, необходимых для соблюдения требования (далее - непроизводительные действия).</w:t>
      </w:r>
    </w:p>
    <w:p>
      <w:pPr>
        <w:pStyle w:val="0"/>
        <w:spacing w:before="200" w:lineRule="auto"/>
        <w:ind w:firstLine="540"/>
        <w:jc w:val="both"/>
      </w:pPr>
      <w:r>
        <w:rPr>
          <w:sz w:val="20"/>
        </w:rPr>
        <w:t xml:space="preserve">42. Случаями простоя являются в том числе:</w:t>
      </w:r>
    </w:p>
    <w:p>
      <w:pPr>
        <w:pStyle w:val="0"/>
        <w:spacing w:before="200" w:lineRule="auto"/>
        <w:ind w:firstLine="540"/>
        <w:jc w:val="both"/>
      </w:pPr>
      <w:r>
        <w:rPr>
          <w:sz w:val="20"/>
        </w:rPr>
        <w:t xml:space="preserve">1) остановка деятельности по причине необходимости получения разрешений, лицензий, сертификатов, иных документов, в случае если их получение не может быть осуществлено без потери рабочего времени (остановки производственного процесса);</w:t>
      </w:r>
    </w:p>
    <w:p>
      <w:pPr>
        <w:pStyle w:val="0"/>
        <w:spacing w:before="200" w:lineRule="auto"/>
        <w:ind w:firstLine="540"/>
        <w:jc w:val="both"/>
      </w:pPr>
      <w:r>
        <w:rPr>
          <w:sz w:val="20"/>
        </w:rPr>
        <w:t xml:space="preserve">2) остановка деятельности по причине необходимости прохождения процедур (например, обучения, аттестации), в случае если их прохождение не может быть осуществлено без потери рабочего времени (остановки производственного процесса);</w:t>
      </w:r>
    </w:p>
    <w:p>
      <w:pPr>
        <w:pStyle w:val="0"/>
        <w:spacing w:before="200" w:lineRule="auto"/>
        <w:ind w:firstLine="540"/>
        <w:jc w:val="both"/>
      </w:pPr>
      <w:r>
        <w:rPr>
          <w:sz w:val="20"/>
        </w:rPr>
        <w:t xml:space="preserve">3) отказы в работе оборудования, приобретение и использование которого предписано предполагаемым к установлению или действующим требованием, или временные сбои в работе информационных систем, информационное взаимодействие с которыми требуется для исполнения установленного требования, что приводит к приостановке производственных процессов, в том числе невозможности отгрузок, отпуска товара вследствие задержек в получении ответа от государственных информационных систем. В этих случаях оценки издержек простоя могут проводиться при наличии данных о частоте и продолжительности отказов или сбоев;</w:t>
      </w:r>
    </w:p>
    <w:p>
      <w:pPr>
        <w:pStyle w:val="0"/>
        <w:spacing w:before="200" w:lineRule="auto"/>
        <w:ind w:firstLine="540"/>
        <w:jc w:val="both"/>
      </w:pPr>
      <w:r>
        <w:rPr>
          <w:sz w:val="20"/>
        </w:rPr>
        <w:t xml:space="preserve">4) рост затрат по причине необходимости осуществления непроизводительных действий, в том числе перепробегов транспортных средств в связи с введением контрольных процедур в пункте, находящемся не на пути их обычного следования.</w:t>
      </w:r>
    </w:p>
    <w:p>
      <w:pPr>
        <w:pStyle w:val="0"/>
        <w:spacing w:before="200" w:lineRule="auto"/>
        <w:ind w:firstLine="540"/>
        <w:jc w:val="both"/>
      </w:pPr>
      <w:r>
        <w:rPr>
          <w:sz w:val="20"/>
        </w:rPr>
        <w:t xml:space="preserve">43. Проведение количественной оценки издержек простоя и недополученной прибыли предполагает последовательную реализацию следующих этапов:</w:t>
      </w:r>
    </w:p>
    <w:p>
      <w:pPr>
        <w:pStyle w:val="0"/>
        <w:spacing w:before="200" w:lineRule="auto"/>
        <w:ind w:firstLine="540"/>
        <w:jc w:val="both"/>
      </w:pPr>
      <w:r>
        <w:rPr>
          <w:sz w:val="20"/>
        </w:rPr>
        <w:t xml:space="preserve">1) определение случаев простоя и объектов расчета;</w:t>
      </w:r>
    </w:p>
    <w:p>
      <w:pPr>
        <w:pStyle w:val="0"/>
        <w:spacing w:before="200" w:lineRule="auto"/>
        <w:ind w:firstLine="540"/>
        <w:jc w:val="both"/>
      </w:pPr>
      <w:r>
        <w:rPr>
          <w:sz w:val="20"/>
        </w:rPr>
        <w:t xml:space="preserve">2) определение состава издержек простоя;</w:t>
      </w:r>
    </w:p>
    <w:p>
      <w:pPr>
        <w:pStyle w:val="0"/>
        <w:spacing w:before="200" w:lineRule="auto"/>
        <w:ind w:firstLine="540"/>
        <w:jc w:val="both"/>
      </w:pPr>
      <w:r>
        <w:rPr>
          <w:sz w:val="20"/>
        </w:rPr>
        <w:t xml:space="preserve">3) определение длительности простоя по каждому случаю простоя;</w:t>
      </w:r>
    </w:p>
    <w:p>
      <w:pPr>
        <w:pStyle w:val="0"/>
        <w:spacing w:before="200" w:lineRule="auto"/>
        <w:ind w:firstLine="540"/>
        <w:jc w:val="both"/>
      </w:pPr>
      <w:r>
        <w:rPr>
          <w:sz w:val="20"/>
        </w:rPr>
        <w:t xml:space="preserve">4) определение частоты наступления случаев простоя (в общем случае - одинаково внутри группы объектов);</w:t>
      </w:r>
    </w:p>
    <w:p>
      <w:pPr>
        <w:pStyle w:val="0"/>
        <w:spacing w:before="200" w:lineRule="auto"/>
        <w:ind w:firstLine="540"/>
        <w:jc w:val="both"/>
      </w:pPr>
      <w:r>
        <w:rPr>
          <w:sz w:val="20"/>
        </w:rPr>
        <w:t xml:space="preserve">5) определение объема издержек простоя по каждой издержке простоя;</w:t>
      </w:r>
    </w:p>
    <w:p>
      <w:pPr>
        <w:pStyle w:val="0"/>
        <w:spacing w:before="200" w:lineRule="auto"/>
        <w:ind w:firstLine="540"/>
        <w:jc w:val="both"/>
      </w:pPr>
      <w:r>
        <w:rPr>
          <w:sz w:val="20"/>
        </w:rPr>
        <w:t xml:space="preserve">6) расчет общей суммы издержек простоя;</w:t>
      </w:r>
    </w:p>
    <w:p>
      <w:pPr>
        <w:pStyle w:val="0"/>
        <w:spacing w:before="200" w:lineRule="auto"/>
        <w:ind w:firstLine="540"/>
        <w:jc w:val="both"/>
      </w:pPr>
      <w:r>
        <w:rPr>
          <w:sz w:val="20"/>
        </w:rPr>
        <w:t xml:space="preserve">7) определение объема недополученной прибыли на единицу времени;</w:t>
      </w:r>
    </w:p>
    <w:p>
      <w:pPr>
        <w:pStyle w:val="0"/>
        <w:spacing w:before="200" w:lineRule="auto"/>
        <w:ind w:firstLine="540"/>
        <w:jc w:val="both"/>
      </w:pPr>
      <w:r>
        <w:rPr>
          <w:sz w:val="20"/>
        </w:rPr>
        <w:t xml:space="preserve">8) расчет суммарного объема недополученной прибыли.</w:t>
      </w:r>
    </w:p>
    <w:p>
      <w:pPr>
        <w:pStyle w:val="0"/>
        <w:spacing w:before="200" w:lineRule="auto"/>
        <w:ind w:firstLine="540"/>
        <w:jc w:val="both"/>
      </w:pPr>
      <w:r>
        <w:rPr>
          <w:sz w:val="20"/>
        </w:rPr>
        <w:t xml:space="preserve">Этапы 7 и 8 реализуются только в отношении требований, распространяемых на субъекты предпринимательской деятельности.</w:t>
      </w:r>
    </w:p>
    <w:p>
      <w:pPr>
        <w:pStyle w:val="0"/>
        <w:spacing w:before="200" w:lineRule="auto"/>
        <w:ind w:firstLine="540"/>
        <w:jc w:val="both"/>
      </w:pPr>
      <w:r>
        <w:rPr>
          <w:sz w:val="20"/>
        </w:rPr>
        <w:t xml:space="preserve">44. Определение случаев простоя предполагает выделение на основе анализа формулировки требования в проекте акта (акте) или на основе иных положений проекта акта (акта), а также анализа фактических производственных процессов в регулируемой сфере отношений, ситуаций, при которых возникает временная остановка экономически обоснованной деятельности субъекта предпринимательской или иной экономической деятельности либо непроизводительные действия.</w:t>
      </w:r>
    </w:p>
    <w:p>
      <w:pPr>
        <w:pStyle w:val="0"/>
        <w:spacing w:before="200" w:lineRule="auto"/>
        <w:ind w:firstLine="540"/>
        <w:jc w:val="both"/>
      </w:pPr>
      <w:r>
        <w:rPr>
          <w:sz w:val="20"/>
        </w:rPr>
        <w:t xml:space="preserve">45. Типовыми случаями простоя являются:</w:t>
      </w:r>
    </w:p>
    <w:p>
      <w:pPr>
        <w:pStyle w:val="0"/>
        <w:spacing w:before="200" w:lineRule="auto"/>
        <w:ind w:firstLine="540"/>
        <w:jc w:val="both"/>
      </w:pPr>
      <w:r>
        <w:rPr>
          <w:sz w:val="20"/>
        </w:rPr>
        <w:t xml:space="preserve">- остановка деятельности по причине необходимости получения разрешений, лицензий, сертификатов, иных документов, в случае если их получение не может быть осуществлено без потери рабочего времени (остановки производственного процесса);</w:t>
      </w:r>
    </w:p>
    <w:p>
      <w:pPr>
        <w:pStyle w:val="0"/>
        <w:spacing w:before="200" w:lineRule="auto"/>
        <w:ind w:firstLine="540"/>
        <w:jc w:val="both"/>
      </w:pPr>
      <w:r>
        <w:rPr>
          <w:sz w:val="20"/>
        </w:rPr>
        <w:t xml:space="preserve">- остановка деятельности по причине необходимости прохождения определенных процедур (например, обучения, аттестации), в случае если их прохождение не может быть осуществлено без потери рабочего времени (остановки производственного процесса);</w:t>
      </w:r>
    </w:p>
    <w:p>
      <w:pPr>
        <w:pStyle w:val="0"/>
        <w:spacing w:before="200" w:lineRule="auto"/>
        <w:ind w:firstLine="540"/>
        <w:jc w:val="both"/>
      </w:pPr>
      <w:r>
        <w:rPr>
          <w:sz w:val="20"/>
        </w:rPr>
        <w:t xml:space="preserve">- отказы и нештатная работа оборудования, приобретение и использование которого предписано установленным требованием, или сбои в работе информационных систем, информационное взаимодействие с которыми требуется для исполнения установленного требования, что приводит к приостановке производственных процессов (например, невозможность отгрузок, отпуска товара вследствие задержек в получении ответа от государственных информационных систем); в этих случаях оценки издержек простоя могут проводиться при наличии данных о частоте и продолжительности отказов или периодов нештатной работы;</w:t>
      </w:r>
    </w:p>
    <w:p>
      <w:pPr>
        <w:pStyle w:val="0"/>
        <w:spacing w:before="200" w:lineRule="auto"/>
        <w:ind w:firstLine="540"/>
        <w:jc w:val="both"/>
      </w:pPr>
      <w:r>
        <w:rPr>
          <w:sz w:val="20"/>
        </w:rPr>
        <w:t xml:space="preserve">- рост затрат по причине необходимости осуществления непроизводительных действий, например, перепробегов транспортных средств в связи с введением контрольных процедур в пункте, находящемся не на пути их обычного следования.</w:t>
      </w:r>
    </w:p>
    <w:p>
      <w:pPr>
        <w:pStyle w:val="0"/>
        <w:spacing w:before="200" w:lineRule="auto"/>
        <w:ind w:firstLine="540"/>
        <w:jc w:val="both"/>
      </w:pPr>
      <w:r>
        <w:rPr>
          <w:sz w:val="20"/>
        </w:rPr>
        <w:t xml:space="preserve">46. В целях расчета издержек простоя выделенные случаи простоя должны иметь однородные характеристики. Разнородными считаются случаи простоя, при которых возникает разный набор и (или) объем издержек и (или) для которых будет характерен разный объем недополученной прибыли.</w:t>
      </w:r>
    </w:p>
    <w:p>
      <w:pPr>
        <w:pStyle w:val="0"/>
        <w:spacing w:before="200" w:lineRule="auto"/>
        <w:ind w:firstLine="540"/>
        <w:jc w:val="both"/>
      </w:pPr>
      <w:r>
        <w:rPr>
          <w:sz w:val="20"/>
        </w:rPr>
        <w:t xml:space="preserve">47. Для каждого случая простоя определяется объект расчета.</w:t>
      </w:r>
    </w:p>
    <w:p>
      <w:pPr>
        <w:pStyle w:val="0"/>
        <w:spacing w:before="200" w:lineRule="auto"/>
        <w:ind w:firstLine="540"/>
        <w:jc w:val="both"/>
      </w:pPr>
      <w:r>
        <w:rPr>
          <w:sz w:val="20"/>
        </w:rPr>
        <w:t xml:space="preserve">В целях уточнения выявленного перечня случаев простоя лицом, осуществляющим оценку издержек исполнения требования, может быть проведен запрос информации у субъектов предпринимательской или иной экономической деятельности и представителей ассоциаций.</w:t>
      </w:r>
    </w:p>
    <w:p>
      <w:pPr>
        <w:pStyle w:val="0"/>
        <w:spacing w:before="200" w:lineRule="auto"/>
        <w:ind w:firstLine="540"/>
        <w:jc w:val="both"/>
      </w:pPr>
      <w:r>
        <w:rPr>
          <w:sz w:val="20"/>
        </w:rPr>
        <w:t xml:space="preserve">48. По каждому случаю простоя определяется перечень издержек простоя.</w:t>
      </w:r>
    </w:p>
    <w:p>
      <w:pPr>
        <w:pStyle w:val="0"/>
        <w:spacing w:before="200" w:lineRule="auto"/>
        <w:ind w:firstLine="540"/>
        <w:jc w:val="both"/>
      </w:pPr>
      <w:r>
        <w:rPr>
          <w:sz w:val="20"/>
        </w:rPr>
        <w:t xml:space="preserve">В ходе простоя могут возникать временные издержки (затраты на оплату труда сотрудников в течение времени простоя) и издержки, связанные с приобретениями, в том числе платежами, например, эксплуатационные или производственные затраты.</w:t>
      </w:r>
    </w:p>
    <w:p>
      <w:pPr>
        <w:pStyle w:val="0"/>
        <w:spacing w:before="200" w:lineRule="auto"/>
        <w:ind w:firstLine="540"/>
        <w:jc w:val="both"/>
      </w:pPr>
      <w:r>
        <w:rPr>
          <w:sz w:val="20"/>
        </w:rPr>
        <w:t xml:space="preserve">Временные издержки простоя оцениваются отдельно в отношении каждого объекта расчета.</w:t>
      </w:r>
    </w:p>
    <w:p>
      <w:pPr>
        <w:pStyle w:val="0"/>
        <w:spacing w:before="200" w:lineRule="auto"/>
        <w:ind w:firstLine="540"/>
        <w:jc w:val="both"/>
      </w:pPr>
      <w:r>
        <w:rPr>
          <w:sz w:val="20"/>
        </w:rPr>
        <w:t xml:space="preserve">Издержки простоя, связанные с приобретениями, оцениваются отдельно в отношении каждого объекта расчета.</w:t>
      </w:r>
    </w:p>
    <w:p>
      <w:pPr>
        <w:pStyle w:val="0"/>
        <w:spacing w:before="200" w:lineRule="auto"/>
        <w:ind w:firstLine="540"/>
        <w:jc w:val="both"/>
      </w:pPr>
      <w:r>
        <w:rPr>
          <w:sz w:val="20"/>
        </w:rPr>
        <w:t xml:space="preserve">49. В случае если временные издержки зависят от длительности простоя, расчет суммы таких издержек для каждого года осуществляется по формуле (W</w:t>
      </w:r>
      <w:r>
        <w:rPr>
          <w:sz w:val="20"/>
          <w:vertAlign w:val="subscript"/>
        </w:rPr>
        <w:t xml:space="preserve">п</w:t>
      </w:r>
      <w:r>
        <w:rPr>
          <w:sz w:val="20"/>
        </w:rPr>
        <w:t xml:space="preserve">(j)):</w:t>
      </w:r>
    </w:p>
    <w:p>
      <w:pPr>
        <w:pStyle w:val="0"/>
        <w:jc w:val="both"/>
      </w:pPr>
      <w:r>
        <w:rPr>
          <w:sz w:val="20"/>
        </w:rPr>
      </w:r>
    </w:p>
    <w:p>
      <w:pPr>
        <w:pStyle w:val="0"/>
        <w:jc w:val="center"/>
      </w:pPr>
      <w:r>
        <w:rPr>
          <w:sz w:val="20"/>
        </w:rPr>
        <w:t xml:space="preserve">W</w:t>
      </w:r>
      <w:r>
        <w:rPr>
          <w:sz w:val="20"/>
          <w:vertAlign w:val="subscript"/>
        </w:rPr>
        <w:t xml:space="preserve">п</w:t>
      </w:r>
      <w:r>
        <w:rPr>
          <w:sz w:val="20"/>
        </w:rPr>
        <w:t xml:space="preserve">(j) = T</w:t>
      </w:r>
      <w:r>
        <w:rPr>
          <w:sz w:val="20"/>
          <w:vertAlign w:val="subscript"/>
        </w:rPr>
        <w:t xml:space="preserve">чч</w:t>
      </w:r>
      <w:r>
        <w:rPr>
          <w:sz w:val="20"/>
        </w:rPr>
        <w:t xml:space="preserve">(j) x w x k x q,</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чч</w:t>
      </w:r>
      <w:r>
        <w:rPr>
          <w:sz w:val="20"/>
        </w:rPr>
        <w:t xml:space="preserve">(j) - суммарное количество человеко-часов, оплачиваемых субъектом экономической деятельности во время простоя объекта расчета в j-м году (человеко-часов);</w:t>
      </w:r>
    </w:p>
    <w:p>
      <w:pPr>
        <w:pStyle w:val="0"/>
        <w:spacing w:before="200" w:lineRule="auto"/>
        <w:ind w:firstLine="540"/>
        <w:jc w:val="both"/>
      </w:pPr>
      <w:r>
        <w:rPr>
          <w:sz w:val="20"/>
        </w:rPr>
        <w:t xml:space="preserve">w - средняя стоимость в j-м году периода оценивания часа работы штатных работников, оплачиваемой, но не осуществляемой во время простоя (рублей);</w:t>
      </w:r>
    </w:p>
    <w:p>
      <w:pPr>
        <w:pStyle w:val="0"/>
        <w:spacing w:before="200" w:lineRule="auto"/>
        <w:ind w:firstLine="540"/>
        <w:jc w:val="both"/>
      </w:pPr>
      <w:r>
        <w:rPr>
          <w:sz w:val="20"/>
        </w:rPr>
        <w:t xml:space="preserve">k - коэффициент налоговых отчислений и иных обязательных платежей, связанных с оплатой труда работников (единиц);</w:t>
      </w:r>
    </w:p>
    <w:p>
      <w:pPr>
        <w:pStyle w:val="0"/>
        <w:spacing w:before="200" w:lineRule="auto"/>
        <w:ind w:firstLine="540"/>
        <w:jc w:val="both"/>
      </w:pPr>
      <w:r>
        <w:rPr>
          <w:sz w:val="20"/>
        </w:rPr>
        <w:t xml:space="preserve">q - численность объектов расчета (единиц).</w:t>
      </w:r>
    </w:p>
    <w:p>
      <w:pPr>
        <w:pStyle w:val="0"/>
        <w:spacing w:before="200" w:lineRule="auto"/>
        <w:ind w:firstLine="540"/>
        <w:jc w:val="both"/>
      </w:pPr>
      <w:r>
        <w:rPr>
          <w:sz w:val="20"/>
        </w:rPr>
        <w:t xml:space="preserve">50. Средняя стоимость часа работы персонала, занятого выполнением действий, необходимых для выполнения требований (включая стоимость оплаты труда, налоги и прочие обязательные платежи, накладные расходы).</w:t>
      </w:r>
    </w:p>
    <w:bookmarkStart w:id="696" w:name="P696"/>
    <w:bookmarkEnd w:id="696"/>
    <w:p>
      <w:pPr>
        <w:pStyle w:val="0"/>
        <w:spacing w:before="200" w:lineRule="auto"/>
        <w:ind w:firstLine="540"/>
        <w:jc w:val="both"/>
      </w:pPr>
      <w:r>
        <w:rPr>
          <w:sz w:val="20"/>
        </w:rPr>
        <w:t xml:space="preserve">51. В целях определения суммарного количества человеко-часов, затрачиваемых во время простоя объекта расчета на периоде оценивания, необходимо для каждого из объектов расчета по каждому случаю простоя определить суммарную длительность простоя на выбранном периоде оценивания и среднее количество занятых сотрудников на одном объекте расчета.</w:t>
      </w:r>
    </w:p>
    <w:p>
      <w:pPr>
        <w:pStyle w:val="0"/>
        <w:spacing w:before="200" w:lineRule="auto"/>
        <w:ind w:firstLine="540"/>
        <w:jc w:val="both"/>
      </w:pPr>
      <w:r>
        <w:rPr>
          <w:sz w:val="20"/>
        </w:rPr>
        <w:t xml:space="preserve">52. Суммарная длительность простоя на выбранном периоде оценивания рассчитывается на основе длительности однократного простоя по данному случаю и частоты возникновения данного случая простоя на выбранном периоде оценивания.</w:t>
      </w:r>
    </w:p>
    <w:p>
      <w:pPr>
        <w:pStyle w:val="0"/>
        <w:spacing w:before="200" w:lineRule="auto"/>
        <w:ind w:firstLine="540"/>
        <w:jc w:val="both"/>
      </w:pPr>
      <w:r>
        <w:rPr>
          <w:sz w:val="20"/>
        </w:rPr>
        <w:t xml:space="preserve">Длительность однократного простоя и частота возникновения простоя определяются на основе анализа положений проекта акта (акта), а также путем запроса информации у субъектов предпринимательской или иной экономической деятельности и представителей ассоциаций.</w:t>
      </w:r>
    </w:p>
    <w:p>
      <w:pPr>
        <w:pStyle w:val="0"/>
        <w:spacing w:before="200" w:lineRule="auto"/>
        <w:ind w:firstLine="540"/>
        <w:jc w:val="both"/>
      </w:pPr>
      <w:r>
        <w:rPr>
          <w:sz w:val="20"/>
        </w:rPr>
        <w:t xml:space="preserve">Суммарная длительность простоя для каждого объекта расчета по каждому случаю простоя рассчитывается по формуле (часов):</w:t>
      </w:r>
    </w:p>
    <w:p>
      <w:pPr>
        <w:pStyle w:val="0"/>
        <w:jc w:val="both"/>
      </w:pPr>
      <w:r>
        <w:rPr>
          <w:sz w:val="20"/>
        </w:rPr>
      </w:r>
    </w:p>
    <w:p>
      <w:pPr>
        <w:pStyle w:val="0"/>
        <w:jc w:val="center"/>
      </w:pPr>
      <w:r>
        <w:rPr>
          <w:position w:val="-10"/>
        </w:rPr>
        <w:drawing>
          <wp:inline distT="0" distB="0" distL="0" distR="0">
            <wp:extent cx="18573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a:extLst>
                        <a:ext uri="{28A0092B-C50C-407E-A947-70E740481C1C}">
                          <a14:useLocalDpi xmlns:a14="http://schemas.microsoft.com/office/drawing/2010/main" val="0"/>
                        </a:ext>
                      </a:extLst>
                    </a:blip>
                    <a:srcRect/>
                    <a:stretch>
                      <a:fillRect/>
                    </a:stretch>
                  </pic:blipFill>
                  <pic:spPr bwMode="auto">
                    <a:xfrm>
                      <a:off x="0" y="0"/>
                      <a:ext cx="185737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пk</w:t>
      </w:r>
      <w:r>
        <w:rPr>
          <w:sz w:val="20"/>
        </w:rPr>
        <w:t xml:space="preserve"> - длительность однократного простоя к-го объекта расчета по конкретному случаю простоя (часов);</w:t>
      </w:r>
    </w:p>
    <w:p>
      <w:pPr>
        <w:pStyle w:val="0"/>
        <w:spacing w:before="200" w:lineRule="auto"/>
        <w:ind w:firstLine="540"/>
        <w:jc w:val="both"/>
      </w:pPr>
      <w:r>
        <w:rPr>
          <w:sz w:val="20"/>
        </w:rPr>
        <w:t xml:space="preserve">f</w:t>
      </w:r>
      <w:r>
        <w:rPr>
          <w:sz w:val="20"/>
          <w:vertAlign w:val="subscript"/>
        </w:rPr>
        <w:t xml:space="preserve">прk</w:t>
      </w:r>
      <w:r>
        <w:rPr>
          <w:sz w:val="20"/>
        </w:rPr>
        <w:t xml:space="preserve"> - частота возникновения конкретного случая простоя k-го объекта расчета в периоде оценивания (раз);</w:t>
      </w:r>
    </w:p>
    <w:p>
      <w:pPr>
        <w:pStyle w:val="0"/>
        <w:spacing w:before="200" w:lineRule="auto"/>
        <w:ind w:firstLine="540"/>
        <w:jc w:val="both"/>
      </w:pPr>
      <w:r>
        <w:rPr>
          <w:sz w:val="20"/>
        </w:rPr>
        <w:t xml:space="preserve">n</w:t>
      </w:r>
      <w:r>
        <w:rPr>
          <w:sz w:val="20"/>
          <w:vertAlign w:val="subscript"/>
        </w:rPr>
        <w:t xml:space="preserve">k</w:t>
      </w:r>
      <w:r>
        <w:rPr>
          <w:sz w:val="20"/>
        </w:rPr>
        <w:t xml:space="preserve"> - количество конкретных случаев простоя для k-го объекта расчета (единиц).</w:t>
      </w:r>
    </w:p>
    <w:p>
      <w:pPr>
        <w:pStyle w:val="0"/>
        <w:spacing w:before="200" w:lineRule="auto"/>
        <w:ind w:firstLine="540"/>
        <w:jc w:val="both"/>
      </w:pPr>
      <w:r>
        <w:rPr>
          <w:sz w:val="20"/>
        </w:rPr>
        <w:t xml:space="preserve">Расчет суммарной длительности простоя по анализируемому требованию за j-й год (T</w:t>
      </w:r>
      <w:r>
        <w:rPr>
          <w:sz w:val="20"/>
          <w:vertAlign w:val="subscript"/>
        </w:rPr>
        <w:t xml:space="preserve">п</w:t>
      </w:r>
      <w:r>
        <w:rPr>
          <w:sz w:val="20"/>
        </w:rPr>
        <w:t xml:space="preserve">(j) (часов)) осуществляется путем суммирования длительностей простоя каждого объекта расчета по всем объектам расчета, имевшим случаи простоя в этом году.</w:t>
      </w:r>
    </w:p>
    <w:p>
      <w:pPr>
        <w:pStyle w:val="0"/>
        <w:spacing w:before="200" w:lineRule="auto"/>
        <w:ind w:firstLine="540"/>
        <w:jc w:val="both"/>
      </w:pPr>
      <w:r>
        <w:rPr>
          <w:sz w:val="20"/>
        </w:rPr>
        <w:t xml:space="preserve">53. Для определения среднего количества занятых сотрудников на одном объекте расчета такие значения переменных выявляются самостоятельно.</w:t>
      </w:r>
    </w:p>
    <w:p>
      <w:pPr>
        <w:pStyle w:val="0"/>
        <w:spacing w:before="200" w:lineRule="auto"/>
        <w:ind w:firstLine="540"/>
        <w:jc w:val="both"/>
      </w:pPr>
      <w:r>
        <w:rPr>
          <w:sz w:val="20"/>
        </w:rPr>
        <w:t xml:space="preserve">54. Суммарное количество человеко-часов, оплачиваемых в j-м году сотрудникам субъектом экономической деятельности во время простоя объекта расчета, на периоде оценивания определяется по формуле:</w:t>
      </w:r>
    </w:p>
    <w:p>
      <w:pPr>
        <w:pStyle w:val="0"/>
        <w:jc w:val="both"/>
      </w:pPr>
      <w:r>
        <w:rPr>
          <w:sz w:val="20"/>
        </w:rPr>
      </w:r>
    </w:p>
    <w:p>
      <w:pPr>
        <w:pStyle w:val="0"/>
        <w:jc w:val="center"/>
      </w:pPr>
      <w:r>
        <w:rPr>
          <w:position w:val="-8"/>
        </w:rPr>
        <w:drawing>
          <wp:inline distT="0" distB="0" distL="0" distR="0">
            <wp:extent cx="12287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4">
                      <a:extLst>
                        <a:ext uri="{28A0092B-C50C-407E-A947-70E740481C1C}">
                          <a14:useLocalDpi xmlns:a14="http://schemas.microsoft.com/office/drawing/2010/main" val="0"/>
                        </a:ext>
                      </a:extLst>
                    </a:blip>
                    <a:srcRect/>
                    <a:stretch>
                      <a:fillRect/>
                    </a:stretch>
                  </pic:blipFill>
                  <pic:spPr bwMode="auto">
                    <a:xfrm>
                      <a:off x="0" y="0"/>
                      <a:ext cx="1228725"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390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5">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Pr>
          <w:sz w:val="20"/>
        </w:rPr>
        <w:t xml:space="preserve"> - суммарная длительность простоя в j-м году для k-го объекта расчета по всем случаям простоя, определяемая в соответствии с </w:t>
      </w:r>
      <w:hyperlink w:history="0" w:anchor="P696" w:tooltip="51. В целях определения суммарного количества человеко-часов, затрачиваемых во время простоя объекта расчета на периоде оценивания, необходимо для каждого из объектов расчета по каждому случаю простоя определить суммарную длительность простоя на выбранном периоде оценивания и среднее количество занятых сотрудников на одном объекте расчета.">
        <w:r>
          <w:rPr>
            <w:sz w:val="20"/>
            <w:color w:val="0000ff"/>
          </w:rPr>
          <w:t xml:space="preserve">пунктом 51</w:t>
        </w:r>
      </w:hyperlink>
      <w:r>
        <w:rPr>
          <w:sz w:val="20"/>
        </w:rPr>
        <w:t xml:space="preserve"> настоящей методики (часов);</w:t>
      </w:r>
    </w:p>
    <w:p>
      <w:pPr>
        <w:pStyle w:val="0"/>
        <w:spacing w:before="200" w:lineRule="auto"/>
        <w:ind w:firstLine="540"/>
        <w:jc w:val="both"/>
      </w:pPr>
      <w:r>
        <w:rPr>
          <w:sz w:val="20"/>
        </w:rPr>
        <w:t xml:space="preserve">р</w:t>
      </w:r>
      <w:r>
        <w:rPr>
          <w:sz w:val="20"/>
          <w:vertAlign w:val="subscript"/>
        </w:rPr>
        <w:t xml:space="preserve">п</w:t>
      </w:r>
      <w:r>
        <w:rPr>
          <w:sz w:val="20"/>
        </w:rPr>
        <w:t xml:space="preserve"> - среднее количество состоящих в штате работников на одном объекте расчета (человек).</w:t>
      </w:r>
    </w:p>
    <w:p>
      <w:pPr>
        <w:pStyle w:val="0"/>
        <w:spacing w:before="200" w:lineRule="auto"/>
        <w:ind w:firstLine="540"/>
        <w:jc w:val="both"/>
      </w:pPr>
      <w:r>
        <w:rPr>
          <w:sz w:val="20"/>
        </w:rPr>
        <w:t xml:space="preserve">55. В случае если издержки, связанные с приобретениями, зависят от длительности простоя, расчет суммы таких издержек для каждого года (</w:t>
      </w:r>
      <w:r>
        <w:rPr>
          <w:position w:val="-8"/>
        </w:rPr>
        <w:drawing>
          <wp:inline distT="0" distB="0" distL="0" distR="0">
            <wp:extent cx="4286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6">
                      <a:extLst>
                        <a:ext uri="{28A0092B-C50C-407E-A947-70E740481C1C}">
                          <a14:useLocalDpi xmlns:a14="http://schemas.microsoft.com/office/drawing/2010/main" val="0"/>
                        </a:ext>
                      </a:extLst>
                    </a:blip>
                    <a:srcRect/>
                    <a:stretch>
                      <a:fillRect/>
                    </a:stretch>
                  </pic:blipFill>
                  <pic:spPr bwMode="auto">
                    <a:xfrm>
                      <a:off x="0" y="0"/>
                      <a:ext cx="428625" cy="238125"/>
                    </a:xfrm>
                    <a:prstGeom prst="rect">
                      <a:avLst/>
                    </a:prstGeom>
                    <a:noFill/>
                    <a:ln>
                      <a:noFill/>
                    </a:ln>
                  </pic:spPr>
                </pic:pic>
              </a:graphicData>
            </a:graphic>
          </wp:inline>
        </w:drawing>
      </w:r>
      <w:r>
        <w:rPr>
          <w:sz w:val="20"/>
        </w:rPr>
        <w:t xml:space="preserve">) (рублей) для каждого k-го объекта расчета осуществляется по формуле:</w:t>
      </w:r>
    </w:p>
    <w:p>
      <w:pPr>
        <w:pStyle w:val="0"/>
        <w:jc w:val="both"/>
      </w:pPr>
      <w:r>
        <w:rPr>
          <w:sz w:val="20"/>
        </w:rPr>
      </w:r>
    </w:p>
    <w:p>
      <w:pPr>
        <w:pStyle w:val="0"/>
        <w:jc w:val="center"/>
      </w:pPr>
      <w:r>
        <w:rPr>
          <w:position w:val="-8"/>
        </w:rPr>
        <w:drawing>
          <wp:inline distT="0" distB="0" distL="0" distR="0">
            <wp:extent cx="14763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7">
                      <a:extLst>
                        <a:ext uri="{28A0092B-C50C-407E-A947-70E740481C1C}">
                          <a14:useLocalDpi xmlns:a14="http://schemas.microsoft.com/office/drawing/2010/main" val="0"/>
                        </a:ext>
                      </a:extLst>
                    </a:blip>
                    <a:srcRect/>
                    <a:stretch>
                      <a:fillRect/>
                    </a:stretch>
                  </pic:blipFill>
                  <pic:spPr bwMode="auto">
                    <a:xfrm>
                      <a:off x="0" y="0"/>
                      <a:ext cx="1476375"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2286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Pr>
          <w:sz w:val="20"/>
        </w:rPr>
        <w:t xml:space="preserve"> - объем эксплуатационных или производственных издержек на единицу времени простоя у объекта расчета со средними параметрами возникновения издержек исполнения требований (рублей);</w:t>
      </w:r>
    </w:p>
    <w:p>
      <w:pPr>
        <w:pStyle w:val="0"/>
        <w:spacing w:before="200" w:lineRule="auto"/>
        <w:ind w:firstLine="540"/>
        <w:jc w:val="both"/>
      </w:pPr>
      <w:r>
        <w:rPr>
          <w:position w:val="-8"/>
        </w:rPr>
        <w:drawing>
          <wp:inline distT="0" distB="0" distL="0" distR="0">
            <wp:extent cx="390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5">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Pr>
          <w:sz w:val="20"/>
        </w:rPr>
        <w:t xml:space="preserve"> - суммарная длительность простоя в j-м году для k-го объекта расчета по всем случаям простоя, определяемая в соответствии с </w:t>
      </w:r>
      <w:hyperlink w:history="0" w:anchor="P696" w:tooltip="51. В целях определения суммарного количества человеко-часов, затрачиваемых во время простоя объекта расчета на периоде оценивания, необходимо для каждого из объектов расчета по каждому случаю простоя определить суммарную длительность простоя на выбранном периоде оценивания и среднее количество занятых сотрудников на одном объекте расчета.">
        <w:r>
          <w:rPr>
            <w:sz w:val="20"/>
            <w:color w:val="0000ff"/>
          </w:rPr>
          <w:t xml:space="preserve">пунктом 51</w:t>
        </w:r>
      </w:hyperlink>
      <w:r>
        <w:rPr>
          <w:sz w:val="20"/>
        </w:rPr>
        <w:t xml:space="preserve"> настоящей методики (часов);</w:t>
      </w:r>
    </w:p>
    <w:p>
      <w:pPr>
        <w:pStyle w:val="0"/>
        <w:spacing w:before="200" w:lineRule="auto"/>
        <w:ind w:firstLine="540"/>
        <w:jc w:val="both"/>
      </w:pPr>
      <w:r>
        <w:rPr>
          <w:sz w:val="20"/>
        </w:rPr>
        <w:t xml:space="preserve">q - численность объектов расчета (единиц).</w:t>
      </w:r>
    </w:p>
    <w:p>
      <w:pPr>
        <w:pStyle w:val="0"/>
        <w:spacing w:before="200" w:lineRule="auto"/>
        <w:ind w:firstLine="540"/>
        <w:jc w:val="both"/>
      </w:pPr>
      <w:r>
        <w:rPr>
          <w:sz w:val="20"/>
        </w:rPr>
        <w:t xml:space="preserve">56. Объем эксплуатационных или производственных издержек на единицу времени простоя у среднего объекта расчета определяется исходя из стоимости эксплуатационных и производственных издержек и количества единиц издержек, приходящихся на один средний объект расчета (например, площадь производственных помещений, количество производственных линий).</w:t>
      </w:r>
    </w:p>
    <w:p>
      <w:pPr>
        <w:pStyle w:val="0"/>
        <w:spacing w:before="200" w:lineRule="auto"/>
        <w:ind w:firstLine="540"/>
        <w:jc w:val="both"/>
      </w:pPr>
      <w:r>
        <w:rPr>
          <w:sz w:val="20"/>
        </w:rPr>
        <w:t xml:space="preserve">Стоимость эксплуатационных и производственных издержек на единицу времени простоя определяется аналогично средней цене приобретения.</w:t>
      </w:r>
    </w:p>
    <w:p>
      <w:pPr>
        <w:pStyle w:val="0"/>
        <w:spacing w:before="200" w:lineRule="auto"/>
        <w:ind w:firstLine="540"/>
        <w:jc w:val="both"/>
      </w:pPr>
      <w:r>
        <w:rPr>
          <w:sz w:val="20"/>
        </w:rPr>
        <w:t xml:space="preserve">Для определения количества единиц эксплуатационных и производственных издержек на один средний объект, расчеты значения переменных выявляются самостоятельно.</w:t>
      </w:r>
    </w:p>
    <w:p>
      <w:pPr>
        <w:pStyle w:val="0"/>
        <w:spacing w:before="200" w:lineRule="auto"/>
        <w:ind w:firstLine="540"/>
        <w:jc w:val="both"/>
      </w:pPr>
      <w:r>
        <w:rPr>
          <w:sz w:val="20"/>
        </w:rPr>
        <w:t xml:space="preserve">57. Расчет суммарного объема временных издержек простоя по анализируемому требованию (W</w:t>
      </w:r>
      <w:r>
        <w:rPr>
          <w:sz w:val="20"/>
          <w:vertAlign w:val="subscript"/>
        </w:rPr>
        <w:t xml:space="preserve">п</w:t>
      </w:r>
      <w:r>
        <w:rPr>
          <w:sz w:val="20"/>
        </w:rPr>
        <w:t xml:space="preserve">(j)) за j-й год осуществляется путем суммирования значений объема временных издержек простоя в течение года по каждому случаю простоя для каждой группы объектов расчета.</w:t>
      </w:r>
    </w:p>
    <w:p>
      <w:pPr>
        <w:pStyle w:val="0"/>
        <w:spacing w:before="200" w:lineRule="auto"/>
        <w:ind w:firstLine="540"/>
        <w:jc w:val="both"/>
      </w:pPr>
      <w:r>
        <w:rPr>
          <w:sz w:val="20"/>
        </w:rPr>
        <w:t xml:space="preserve">58. Расчет суммарного объема издержек простоя, связанных с приобретениями, по анализируемому требованию (A</w:t>
      </w:r>
      <w:r>
        <w:rPr>
          <w:sz w:val="20"/>
          <w:vertAlign w:val="subscript"/>
        </w:rPr>
        <w:t xml:space="preserve">п</w:t>
      </w:r>
      <w:r>
        <w:rPr>
          <w:sz w:val="20"/>
        </w:rPr>
        <w:t xml:space="preserve">(j)) за j-й год осуществляется путем суммирования значений объема издержек простоя, связанных с приобретениями в течение года по каждому случаю простоя для каждой группы объектов расчета.</w:t>
      </w:r>
    </w:p>
    <w:p>
      <w:pPr>
        <w:pStyle w:val="0"/>
        <w:spacing w:before="200" w:lineRule="auto"/>
        <w:ind w:firstLine="540"/>
        <w:jc w:val="both"/>
      </w:pPr>
      <w:r>
        <w:rPr>
          <w:sz w:val="20"/>
        </w:rPr>
        <w:t xml:space="preserve">59. Расчет суммарного объема временных издержек простоя по анализируемому требованию (W</w:t>
      </w:r>
      <w:r>
        <w:rPr>
          <w:sz w:val="20"/>
          <w:vertAlign w:val="subscript"/>
        </w:rPr>
        <w:t xml:space="preserve">п</w:t>
      </w:r>
      <w:r>
        <w:rPr>
          <w:sz w:val="20"/>
        </w:rPr>
        <w:t xml:space="preserve">) (рублей) за весь период оценивания с учетом изменения средней заработной платы осуществляется по формуле:</w:t>
      </w:r>
    </w:p>
    <w:p>
      <w:pPr>
        <w:pStyle w:val="0"/>
        <w:jc w:val="both"/>
      </w:pPr>
      <w:r>
        <w:rPr>
          <w:sz w:val="20"/>
        </w:rPr>
      </w:r>
    </w:p>
    <w:p>
      <w:pPr>
        <w:pStyle w:val="0"/>
        <w:jc w:val="center"/>
      </w:pPr>
      <w:r>
        <w:rPr>
          <w:sz w:val="20"/>
        </w:rPr>
        <w:t xml:space="preserve">W</w:t>
      </w:r>
      <w:r>
        <w:rPr>
          <w:sz w:val="20"/>
          <w:vertAlign w:val="subscript"/>
        </w:rPr>
        <w:t xml:space="preserve">п</w:t>
      </w:r>
      <w:r>
        <w:rPr>
          <w:sz w:val="20"/>
        </w:rPr>
        <w:t xml:space="preserve"> = W</w:t>
      </w:r>
      <w:r>
        <w:rPr>
          <w:sz w:val="20"/>
          <w:vertAlign w:val="subscript"/>
        </w:rPr>
        <w:t xml:space="preserve">п</w:t>
      </w:r>
      <w:r>
        <w:rPr>
          <w:sz w:val="20"/>
        </w:rPr>
        <w:t xml:space="preserve">(1) + W</w:t>
      </w:r>
      <w:r>
        <w:rPr>
          <w:sz w:val="20"/>
          <w:vertAlign w:val="subscript"/>
        </w:rPr>
        <w:t xml:space="preserve">п</w:t>
      </w:r>
      <w:r>
        <w:rPr>
          <w:sz w:val="20"/>
        </w:rPr>
        <w:t xml:space="preserve">(2) x (1 + z</w:t>
      </w:r>
      <w:r>
        <w:rPr>
          <w:sz w:val="20"/>
          <w:vertAlign w:val="subscript"/>
        </w:rPr>
        <w:t xml:space="preserve">1</w:t>
      </w:r>
      <w:r>
        <w:rPr>
          <w:sz w:val="20"/>
        </w:rPr>
        <w:t xml:space="preserve">) + W</w:t>
      </w:r>
      <w:r>
        <w:rPr>
          <w:sz w:val="20"/>
          <w:vertAlign w:val="subscript"/>
        </w:rPr>
        <w:t xml:space="preserve">п</w:t>
      </w:r>
      <w:r>
        <w:rPr>
          <w:sz w:val="20"/>
        </w:rPr>
        <w:t xml:space="preserve">(3) x (1 + z</w:t>
      </w:r>
      <w:r>
        <w:rPr>
          <w:sz w:val="20"/>
          <w:vertAlign w:val="subscript"/>
        </w:rPr>
        <w:t xml:space="preserve">1</w:t>
      </w:r>
      <w:r>
        <w:rPr>
          <w:sz w:val="20"/>
        </w:rPr>
        <w:t xml:space="preserve">) x</w:t>
      </w:r>
    </w:p>
    <w:p>
      <w:pPr>
        <w:pStyle w:val="0"/>
        <w:jc w:val="center"/>
      </w:pPr>
      <w:r>
        <w:rPr>
          <w:sz w:val="20"/>
        </w:rPr>
        <w:t xml:space="preserve">x (1 + z</w:t>
      </w:r>
      <w:r>
        <w:rPr>
          <w:sz w:val="20"/>
          <w:vertAlign w:val="subscript"/>
        </w:rPr>
        <w:t xml:space="preserve">2</w:t>
      </w:r>
      <w:r>
        <w:rPr>
          <w:sz w:val="20"/>
        </w:rPr>
        <w:t xml:space="preserve">) + ... + W</w:t>
      </w:r>
      <w:r>
        <w:rPr>
          <w:sz w:val="20"/>
          <w:vertAlign w:val="subscript"/>
        </w:rPr>
        <w:t xml:space="preserve">п</w:t>
      </w:r>
      <w:r>
        <w:rPr>
          <w:sz w:val="20"/>
        </w:rPr>
        <w:t xml:space="preserve">(n) x (1 + z</w:t>
      </w:r>
      <w:r>
        <w:rPr>
          <w:sz w:val="20"/>
          <w:vertAlign w:val="subscript"/>
        </w:rPr>
        <w:t xml:space="preserve">1</w:t>
      </w:r>
      <w:r>
        <w:rPr>
          <w:sz w:val="20"/>
        </w:rPr>
        <w:t xml:space="preserve">) x ... (1 + z</w:t>
      </w:r>
      <w:r>
        <w:rPr>
          <w:sz w:val="20"/>
          <w:vertAlign w:val="subscript"/>
        </w:rPr>
        <w:t xml:space="preserve">n-1</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zi - прогнозируемый прирост средней заработной платы в i-м году действия требования;</w:t>
      </w:r>
    </w:p>
    <w:p>
      <w:pPr>
        <w:pStyle w:val="0"/>
        <w:spacing w:before="200" w:lineRule="auto"/>
        <w:ind w:firstLine="540"/>
        <w:jc w:val="both"/>
      </w:pPr>
      <w:r>
        <w:rPr>
          <w:sz w:val="20"/>
        </w:rPr>
        <w:t xml:space="preserve">n - количество лет в периоде оценивания.</w:t>
      </w:r>
    </w:p>
    <w:p>
      <w:pPr>
        <w:pStyle w:val="0"/>
        <w:spacing w:before="200" w:lineRule="auto"/>
        <w:ind w:firstLine="540"/>
        <w:jc w:val="both"/>
      </w:pPr>
      <w:r>
        <w:rPr>
          <w:sz w:val="20"/>
        </w:rPr>
        <w:t xml:space="preserve">60. Расчет суммарного объема издержек простоя, связанных с приобретениями, по анализируемому требованию (А</w:t>
      </w:r>
      <w:r>
        <w:rPr>
          <w:sz w:val="20"/>
          <w:vertAlign w:val="subscript"/>
        </w:rPr>
        <w:t xml:space="preserve">пп</w:t>
      </w:r>
      <w:r>
        <w:rPr>
          <w:sz w:val="20"/>
        </w:rPr>
        <w:t xml:space="preserve">) за весь период оценивания с учетом инфляции осуществляется по формуле:</w:t>
      </w:r>
    </w:p>
    <w:p>
      <w:pPr>
        <w:pStyle w:val="0"/>
        <w:jc w:val="both"/>
      </w:pPr>
      <w:r>
        <w:rPr>
          <w:sz w:val="20"/>
        </w:rPr>
      </w:r>
    </w:p>
    <w:p>
      <w:pPr>
        <w:pStyle w:val="0"/>
        <w:jc w:val="center"/>
      </w:pPr>
      <w:r>
        <w:rPr>
          <w:sz w:val="20"/>
        </w:rPr>
        <w:t xml:space="preserve">А</w:t>
      </w:r>
      <w:r>
        <w:rPr>
          <w:sz w:val="20"/>
          <w:vertAlign w:val="subscript"/>
        </w:rPr>
        <w:t xml:space="preserve">пп</w:t>
      </w:r>
      <w:r>
        <w:rPr>
          <w:sz w:val="20"/>
        </w:rPr>
        <w:t xml:space="preserve"> = А</w:t>
      </w:r>
      <w:r>
        <w:rPr>
          <w:sz w:val="20"/>
          <w:vertAlign w:val="subscript"/>
        </w:rPr>
        <w:t xml:space="preserve">п</w:t>
      </w:r>
      <w:r>
        <w:rPr>
          <w:sz w:val="20"/>
        </w:rPr>
        <w:t xml:space="preserve">(1) + А</w:t>
      </w:r>
      <w:r>
        <w:rPr>
          <w:sz w:val="20"/>
          <w:vertAlign w:val="subscript"/>
        </w:rPr>
        <w:t xml:space="preserve">п</w:t>
      </w:r>
      <w:r>
        <w:rPr>
          <w:sz w:val="20"/>
        </w:rPr>
        <w:t xml:space="preserve">(2) x (1 + k</w:t>
      </w:r>
      <w:r>
        <w:rPr>
          <w:sz w:val="20"/>
          <w:vertAlign w:val="subscript"/>
        </w:rPr>
        <w:t xml:space="preserve">1</w:t>
      </w:r>
      <w:r>
        <w:rPr>
          <w:sz w:val="20"/>
        </w:rPr>
        <w:t xml:space="preserve">) + А</w:t>
      </w:r>
      <w:r>
        <w:rPr>
          <w:sz w:val="20"/>
          <w:vertAlign w:val="subscript"/>
        </w:rPr>
        <w:t xml:space="preserve">п</w:t>
      </w:r>
      <w:r>
        <w:rPr>
          <w:sz w:val="20"/>
        </w:rPr>
        <w:t xml:space="preserve">(3) x (1 + k</w:t>
      </w:r>
      <w:r>
        <w:rPr>
          <w:sz w:val="20"/>
          <w:vertAlign w:val="subscript"/>
        </w:rPr>
        <w:t xml:space="preserve">1</w:t>
      </w:r>
      <w:r>
        <w:rPr>
          <w:sz w:val="20"/>
        </w:rPr>
        <w:t xml:space="preserve">) x</w:t>
      </w:r>
    </w:p>
    <w:p>
      <w:pPr>
        <w:pStyle w:val="0"/>
        <w:jc w:val="center"/>
      </w:pPr>
      <w:r>
        <w:rPr>
          <w:sz w:val="20"/>
        </w:rPr>
        <w:t xml:space="preserve">x (1 + k</w:t>
      </w:r>
      <w:r>
        <w:rPr>
          <w:sz w:val="20"/>
          <w:vertAlign w:val="subscript"/>
        </w:rPr>
        <w:t xml:space="preserve">2</w:t>
      </w:r>
      <w:r>
        <w:rPr>
          <w:sz w:val="20"/>
        </w:rPr>
        <w:t xml:space="preserve">) + ... + А</w:t>
      </w:r>
      <w:r>
        <w:rPr>
          <w:sz w:val="20"/>
          <w:vertAlign w:val="subscript"/>
        </w:rPr>
        <w:t xml:space="preserve">п</w:t>
      </w:r>
      <w:r>
        <w:rPr>
          <w:sz w:val="20"/>
        </w:rPr>
        <w:t xml:space="preserve">(n) x (1 + k</w:t>
      </w:r>
      <w:r>
        <w:rPr>
          <w:sz w:val="20"/>
          <w:vertAlign w:val="subscript"/>
        </w:rPr>
        <w:t xml:space="preserve">1</w:t>
      </w:r>
      <w:r>
        <w:rPr>
          <w:sz w:val="20"/>
        </w:rPr>
        <w:t xml:space="preserve">) x ... x (1 + k</w:t>
      </w:r>
      <w:r>
        <w:rPr>
          <w:sz w:val="20"/>
          <w:vertAlign w:val="subscript"/>
        </w:rPr>
        <w:t xml:space="preserve">n-1</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ki - коэффициент инфляции i-го года действия требования;</w:t>
      </w:r>
    </w:p>
    <w:p>
      <w:pPr>
        <w:pStyle w:val="0"/>
        <w:spacing w:before="200" w:lineRule="auto"/>
        <w:ind w:firstLine="540"/>
        <w:jc w:val="both"/>
      </w:pPr>
      <w:r>
        <w:rPr>
          <w:sz w:val="20"/>
        </w:rPr>
        <w:t xml:space="preserve">n - количество лет в периоде оценивания.</w:t>
      </w:r>
    </w:p>
    <w:p>
      <w:pPr>
        <w:pStyle w:val="0"/>
        <w:spacing w:before="200" w:lineRule="auto"/>
        <w:ind w:firstLine="540"/>
        <w:jc w:val="both"/>
      </w:pPr>
      <w:r>
        <w:rPr>
          <w:sz w:val="20"/>
        </w:rPr>
        <w:t xml:space="preserve">61. Общий объем издержек простоя (LP</w:t>
      </w:r>
      <w:r>
        <w:rPr>
          <w:sz w:val="20"/>
          <w:vertAlign w:val="subscript"/>
        </w:rPr>
        <w:t xml:space="preserve">пр</w:t>
      </w:r>
      <w:r>
        <w:rPr>
          <w:sz w:val="20"/>
        </w:rPr>
        <w:t xml:space="preserve">) (рублей) определяется по формуле:</w:t>
      </w:r>
    </w:p>
    <w:p>
      <w:pPr>
        <w:pStyle w:val="0"/>
        <w:jc w:val="both"/>
      </w:pPr>
      <w:r>
        <w:rPr>
          <w:sz w:val="20"/>
        </w:rPr>
      </w:r>
    </w:p>
    <w:p>
      <w:pPr>
        <w:pStyle w:val="0"/>
        <w:jc w:val="center"/>
      </w:pPr>
      <w:r>
        <w:rPr>
          <w:sz w:val="20"/>
        </w:rPr>
        <w:t xml:space="preserve">LP</w:t>
      </w:r>
      <w:r>
        <w:rPr>
          <w:sz w:val="20"/>
          <w:vertAlign w:val="subscript"/>
        </w:rPr>
        <w:t xml:space="preserve">пр</w:t>
      </w:r>
      <w:r>
        <w:rPr>
          <w:sz w:val="20"/>
        </w:rPr>
        <w:t xml:space="preserve"> = W</w:t>
      </w:r>
      <w:r>
        <w:rPr>
          <w:sz w:val="20"/>
          <w:vertAlign w:val="subscript"/>
        </w:rPr>
        <w:t xml:space="preserve">п</w:t>
      </w:r>
      <w:r>
        <w:rPr>
          <w:sz w:val="20"/>
        </w:rPr>
        <w:t xml:space="preserve"> + А</w:t>
      </w:r>
      <w:r>
        <w:rPr>
          <w:sz w:val="20"/>
          <w:vertAlign w:val="subscript"/>
        </w:rPr>
        <w:t xml:space="preserve">пп</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W</w:t>
      </w:r>
      <w:r>
        <w:rPr>
          <w:sz w:val="20"/>
          <w:vertAlign w:val="subscript"/>
        </w:rPr>
        <w:t xml:space="preserve">п</w:t>
      </w:r>
      <w:r>
        <w:rPr>
          <w:sz w:val="20"/>
        </w:rPr>
        <w:t xml:space="preserve"> - суммарный объем временных издержек простоя по анализируемому требованию за весь период оценивания с учетом роста средней заработной платы (рублей);</w:t>
      </w:r>
    </w:p>
    <w:p>
      <w:pPr>
        <w:pStyle w:val="0"/>
        <w:spacing w:before="200" w:lineRule="auto"/>
        <w:ind w:firstLine="540"/>
        <w:jc w:val="both"/>
      </w:pPr>
      <w:r>
        <w:rPr>
          <w:sz w:val="20"/>
        </w:rPr>
        <w:t xml:space="preserve">А</w:t>
      </w:r>
      <w:r>
        <w:rPr>
          <w:sz w:val="20"/>
          <w:vertAlign w:val="subscript"/>
        </w:rPr>
        <w:t xml:space="preserve">пп</w:t>
      </w:r>
      <w:r>
        <w:rPr>
          <w:sz w:val="20"/>
        </w:rPr>
        <w:t xml:space="preserve"> - суммарный объем затрат простоя, связанных с приобретениями, по анализируемому требованию за весь период оценивания с учетом инфляции (рублей).</w:t>
      </w:r>
    </w:p>
    <w:p>
      <w:pPr>
        <w:pStyle w:val="0"/>
        <w:spacing w:before="200" w:lineRule="auto"/>
        <w:ind w:firstLine="540"/>
        <w:jc w:val="both"/>
      </w:pPr>
      <w:r>
        <w:rPr>
          <w:sz w:val="20"/>
        </w:rPr>
        <w:t xml:space="preserve">62. Объем прибыли, недополученной субъектами предпринимательской деятельности в связи с вынужденным простоем, оценивается по каждому случаю простоя.</w:t>
      </w:r>
    </w:p>
    <w:p>
      <w:pPr>
        <w:pStyle w:val="0"/>
        <w:spacing w:before="200" w:lineRule="auto"/>
        <w:ind w:firstLine="540"/>
        <w:jc w:val="both"/>
      </w:pPr>
      <w:r>
        <w:rPr>
          <w:sz w:val="20"/>
        </w:rPr>
        <w:t xml:space="preserve">Для этого по каждому из объектов расчета оценивается среднее значение суммарного фонда рабочего времени на периоде оценивания (T</w:t>
      </w:r>
      <w:r>
        <w:rPr>
          <w:sz w:val="20"/>
          <w:vertAlign w:val="subscript"/>
        </w:rPr>
        <w:t xml:space="preserve">раб</w:t>
      </w:r>
      <w:r>
        <w:rPr>
          <w:sz w:val="20"/>
        </w:rPr>
        <w:t xml:space="preserve">), а также определяется суммарная длительность простоя на выбранном периоде оценивания по данному случаю простоя для каждого объекта расчета (T</w:t>
      </w:r>
      <w:r>
        <w:rPr>
          <w:sz w:val="20"/>
          <w:vertAlign w:val="subscript"/>
        </w:rPr>
        <w:t xml:space="preserve">п</w:t>
      </w:r>
      <w:r>
        <w:rPr>
          <w:sz w:val="20"/>
        </w:rPr>
        <w:t xml:space="preserve">).</w:t>
      </w:r>
    </w:p>
    <w:bookmarkStart w:id="754" w:name="P754"/>
    <w:bookmarkEnd w:id="754"/>
    <w:p>
      <w:pPr>
        <w:pStyle w:val="0"/>
        <w:spacing w:before="200" w:lineRule="auto"/>
        <w:ind w:firstLine="540"/>
        <w:jc w:val="both"/>
      </w:pPr>
      <w:r>
        <w:rPr>
          <w:sz w:val="20"/>
        </w:rPr>
        <w:t xml:space="preserve">63. Доля простоя в суммарном фонде рабочего времени объекта расчета dп(j) (тысячных долей) определяется по формуле:</w:t>
      </w:r>
    </w:p>
    <w:p>
      <w:pPr>
        <w:pStyle w:val="0"/>
        <w:jc w:val="both"/>
      </w:pPr>
      <w:r>
        <w:rPr>
          <w:sz w:val="20"/>
        </w:rPr>
      </w:r>
    </w:p>
    <w:p>
      <w:pPr>
        <w:pStyle w:val="0"/>
        <w:jc w:val="center"/>
      </w:pPr>
      <w:r>
        <w:rPr>
          <w:sz w:val="20"/>
        </w:rPr>
        <w:t xml:space="preserve">d</w:t>
      </w:r>
      <w:r>
        <w:rPr>
          <w:sz w:val="20"/>
          <w:vertAlign w:val="subscript"/>
        </w:rPr>
        <w:t xml:space="preserve">п</w:t>
      </w:r>
      <w:r>
        <w:rPr>
          <w:sz w:val="20"/>
        </w:rPr>
        <w:t xml:space="preserve">(j) = T</w:t>
      </w:r>
      <w:r>
        <w:rPr>
          <w:sz w:val="20"/>
          <w:vertAlign w:val="subscript"/>
        </w:rPr>
        <w:t xml:space="preserve">п</w:t>
      </w:r>
      <w:r>
        <w:rPr>
          <w:sz w:val="20"/>
        </w:rPr>
        <w:t xml:space="preserve">(j) / T</w:t>
      </w:r>
      <w:r>
        <w:rPr>
          <w:sz w:val="20"/>
          <w:vertAlign w:val="subscript"/>
        </w:rPr>
        <w:t xml:space="preserve">раб</w:t>
      </w:r>
      <w:r>
        <w:rPr>
          <w:sz w:val="20"/>
        </w:rPr>
        <w:t xml:space="preserve">(j),</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п</w:t>
      </w:r>
      <w:r>
        <w:rPr>
          <w:sz w:val="20"/>
        </w:rPr>
        <w:t xml:space="preserve">(j) - суммарная продолжительность простоя на выбранном периоде оценивания по данному случаю простоя для каждого типового объекта расчета (часов);</w:t>
      </w:r>
    </w:p>
    <w:p>
      <w:pPr>
        <w:pStyle w:val="0"/>
        <w:spacing w:before="200" w:lineRule="auto"/>
        <w:ind w:firstLine="540"/>
        <w:jc w:val="both"/>
      </w:pPr>
      <w:r>
        <w:rPr>
          <w:sz w:val="20"/>
        </w:rPr>
        <w:t xml:space="preserve">T</w:t>
      </w:r>
      <w:r>
        <w:rPr>
          <w:sz w:val="20"/>
          <w:vertAlign w:val="subscript"/>
        </w:rPr>
        <w:t xml:space="preserve">раб</w:t>
      </w:r>
      <w:r>
        <w:rPr>
          <w:sz w:val="20"/>
        </w:rPr>
        <w:t xml:space="preserve">(j) - суммарный фонд рабочего времени типового объекта расчета на периоде оценивания (часов).</w:t>
      </w:r>
    </w:p>
    <w:bookmarkStart w:id="761" w:name="P761"/>
    <w:bookmarkEnd w:id="761"/>
    <w:p>
      <w:pPr>
        <w:pStyle w:val="0"/>
        <w:spacing w:before="200" w:lineRule="auto"/>
        <w:ind w:firstLine="540"/>
        <w:jc w:val="both"/>
      </w:pPr>
      <w:r>
        <w:rPr>
          <w:sz w:val="20"/>
        </w:rPr>
        <w:t xml:space="preserve">64. Для расчета объема недополученной прибыли осуществляется поиск данных об объеме прибыли отрасли (группы объектов расчета) за год (Рвэд), а также об уровне рентабельности активов по виду экономической деятельности (r). Данные показатели могут быть определены на основе сведений государственной статистики с учетом вида экономической деятельности объектов регулирования.</w:t>
      </w:r>
    </w:p>
    <w:p>
      <w:pPr>
        <w:pStyle w:val="0"/>
        <w:spacing w:before="200" w:lineRule="auto"/>
        <w:ind w:firstLine="540"/>
        <w:jc w:val="both"/>
      </w:pPr>
      <w:r>
        <w:rPr>
          <w:sz w:val="20"/>
        </w:rPr>
        <w:t xml:space="preserve">65. Суммарный объем недополученной в j-м году прибыли по конкретному случаю простоя на группу объектов расчета (LP</w:t>
      </w:r>
      <w:r>
        <w:rPr>
          <w:sz w:val="20"/>
          <w:vertAlign w:val="subscript"/>
        </w:rPr>
        <w:t xml:space="preserve">гр</w:t>
      </w:r>
      <w:r>
        <w:rPr>
          <w:sz w:val="20"/>
        </w:rPr>
        <w:t xml:space="preserve">(j)) рассчитывается как произведение доли простоя в суммарном фонде рабочего времени типового объекта расчета (d</w:t>
      </w:r>
      <w:r>
        <w:rPr>
          <w:sz w:val="20"/>
          <w:vertAlign w:val="subscript"/>
        </w:rPr>
        <w:t xml:space="preserve">п</w:t>
      </w:r>
      <w:r>
        <w:rPr>
          <w:sz w:val="20"/>
        </w:rPr>
        <w:t xml:space="preserve">(j)) в j-м году и объема прибыли отрасли (группы объектов расчета) за год (P</w:t>
      </w:r>
      <w:r>
        <w:rPr>
          <w:sz w:val="20"/>
          <w:vertAlign w:val="subscript"/>
        </w:rPr>
        <w:t xml:space="preserve">вэд</w:t>
      </w:r>
      <w:r>
        <w:rPr>
          <w:sz w:val="20"/>
        </w:rPr>
        <w:t xml:space="preserve">):</w:t>
      </w:r>
    </w:p>
    <w:p>
      <w:pPr>
        <w:pStyle w:val="0"/>
        <w:jc w:val="both"/>
      </w:pPr>
      <w:r>
        <w:rPr>
          <w:sz w:val="20"/>
        </w:rPr>
      </w:r>
    </w:p>
    <w:p>
      <w:pPr>
        <w:pStyle w:val="0"/>
        <w:jc w:val="center"/>
      </w:pPr>
      <w:r>
        <w:rPr>
          <w:sz w:val="20"/>
        </w:rPr>
        <w:t xml:space="preserve">LP</w:t>
      </w:r>
      <w:r>
        <w:rPr>
          <w:sz w:val="20"/>
          <w:vertAlign w:val="subscript"/>
        </w:rPr>
        <w:t xml:space="preserve">гр</w:t>
      </w:r>
      <w:r>
        <w:rPr>
          <w:sz w:val="20"/>
        </w:rPr>
        <w:t xml:space="preserve">(j) = d</w:t>
      </w:r>
      <w:r>
        <w:rPr>
          <w:sz w:val="20"/>
          <w:vertAlign w:val="subscript"/>
        </w:rPr>
        <w:t xml:space="preserve">п</w:t>
      </w:r>
      <w:r>
        <w:rPr>
          <w:sz w:val="20"/>
        </w:rPr>
        <w:t xml:space="preserve">(j) x P</w:t>
      </w:r>
      <w:r>
        <w:rPr>
          <w:sz w:val="20"/>
          <w:vertAlign w:val="subscript"/>
        </w:rPr>
        <w:t xml:space="preserve">вэд</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d</w:t>
      </w:r>
      <w:r>
        <w:rPr>
          <w:sz w:val="20"/>
          <w:vertAlign w:val="subscript"/>
        </w:rPr>
        <w:t xml:space="preserve">п</w:t>
      </w:r>
      <w:r>
        <w:rPr>
          <w:sz w:val="20"/>
        </w:rPr>
        <w:t xml:space="preserve">(j) - доля простоя в суммарном фонде рабочего времени типового объекта расчета в j-м году (тысячных долей);</w:t>
      </w:r>
    </w:p>
    <w:p>
      <w:pPr>
        <w:pStyle w:val="0"/>
        <w:spacing w:before="200" w:lineRule="auto"/>
        <w:ind w:firstLine="540"/>
        <w:jc w:val="both"/>
      </w:pPr>
      <w:r>
        <w:rPr>
          <w:sz w:val="20"/>
        </w:rPr>
        <w:t xml:space="preserve">d</w:t>
      </w:r>
      <w:r>
        <w:rPr>
          <w:sz w:val="20"/>
          <w:vertAlign w:val="subscript"/>
        </w:rPr>
        <w:t xml:space="preserve">п</w:t>
      </w:r>
      <w:r>
        <w:rPr>
          <w:sz w:val="20"/>
        </w:rPr>
        <w:t xml:space="preserve">(j) - доля простоя в общем фонде рабочего времени объекта расчета со средними параметрами возникновения издержек исполнения требований в j-м году (тысячных долей);</w:t>
      </w:r>
    </w:p>
    <w:p>
      <w:pPr>
        <w:pStyle w:val="0"/>
        <w:spacing w:before="200" w:lineRule="auto"/>
        <w:ind w:firstLine="540"/>
        <w:jc w:val="both"/>
      </w:pPr>
      <w:r>
        <w:rPr>
          <w:sz w:val="20"/>
        </w:rPr>
        <w:t xml:space="preserve">P</w:t>
      </w:r>
      <w:r>
        <w:rPr>
          <w:sz w:val="20"/>
          <w:vertAlign w:val="subscript"/>
        </w:rPr>
        <w:t xml:space="preserve">вэд</w:t>
      </w:r>
      <w:r>
        <w:rPr>
          <w:sz w:val="20"/>
        </w:rPr>
        <w:t xml:space="preserve"> - объем прибыли отрасли (группы объектов расчета) за год (рублей).</w:t>
      </w:r>
    </w:p>
    <w:p>
      <w:pPr>
        <w:pStyle w:val="0"/>
        <w:spacing w:before="200" w:lineRule="auto"/>
        <w:ind w:firstLine="540"/>
        <w:jc w:val="both"/>
      </w:pPr>
      <w:r>
        <w:rPr>
          <w:sz w:val="20"/>
        </w:rPr>
        <w:t xml:space="preserve">66. Расчет суммарного объема недополученной в j-м году прибыли по анализируемому требованию (LP</w:t>
      </w:r>
      <w:r>
        <w:rPr>
          <w:sz w:val="20"/>
          <w:vertAlign w:val="subscript"/>
        </w:rPr>
        <w:t xml:space="preserve">от</w:t>
      </w:r>
      <w:r>
        <w:rPr>
          <w:sz w:val="20"/>
        </w:rPr>
        <w:t xml:space="preserve">(j)) для всех групп объектов расчета осуществляется путем суммирования значений объема недополученной прибыли по каждому случаю простоя для каждой группы объектов расчета по формуле:</w:t>
      </w:r>
    </w:p>
    <w:p>
      <w:pPr>
        <w:pStyle w:val="0"/>
        <w:jc w:val="both"/>
      </w:pPr>
      <w:r>
        <w:rPr>
          <w:sz w:val="20"/>
        </w:rPr>
      </w:r>
    </w:p>
    <w:p>
      <w:pPr>
        <w:pStyle w:val="0"/>
        <w:jc w:val="center"/>
      </w:pPr>
      <w:r>
        <w:rPr>
          <w:position w:val="-10"/>
        </w:rPr>
        <w:drawing>
          <wp:inline distT="0" distB="0" distL="0" distR="0">
            <wp:extent cx="24765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9">
                      <a:extLst>
                        <a:ext uri="{28A0092B-C50C-407E-A947-70E740481C1C}">
                          <a14:useLocalDpi xmlns:a14="http://schemas.microsoft.com/office/drawing/2010/main" val="0"/>
                        </a:ext>
                      </a:extLst>
                    </a:blip>
                    <a:srcRect/>
                    <a:stretch>
                      <a:fillRect/>
                    </a:stretch>
                  </pic:blipFill>
                  <pic:spPr bwMode="auto">
                    <a:xfrm>
                      <a:off x="0" y="0"/>
                      <a:ext cx="24765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10"/>
        </w:rPr>
        <w:drawing>
          <wp:inline distT="0" distB="0" distL="0" distR="0">
            <wp:extent cx="4857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a:extLst>
                        <a:ext uri="{28A0092B-C50C-407E-A947-70E740481C1C}">
                          <a14:useLocalDpi xmlns:a14="http://schemas.microsoft.com/office/drawing/2010/main" val="0"/>
                        </a:ext>
                      </a:extLst>
                    </a:blip>
                    <a:srcRect/>
                    <a:stretch>
                      <a:fillRect/>
                    </a:stretch>
                  </pic:blipFill>
                  <pic:spPr bwMode="auto">
                    <a:xfrm>
                      <a:off x="0" y="0"/>
                      <a:ext cx="485775" cy="257175"/>
                    </a:xfrm>
                    <a:prstGeom prst="rect">
                      <a:avLst/>
                    </a:prstGeom>
                    <a:noFill/>
                    <a:ln>
                      <a:noFill/>
                    </a:ln>
                  </pic:spPr>
                </pic:pic>
              </a:graphicData>
            </a:graphic>
          </wp:inline>
        </w:drawing>
      </w:r>
      <w:r>
        <w:rPr>
          <w:sz w:val="20"/>
        </w:rPr>
        <w:t xml:space="preserve"> - значение объема недополученной в j-м году прибыли по каждому случаю простоя для i-й группы объектов расчета, рассчитанные по формуле, приведенной в </w:t>
      </w:r>
      <w:hyperlink w:history="0" w:anchor="P761" w:tooltip="64. Для расчета объема недополученной прибыли осуществляется поиск данных об объеме прибыли отрасли (группы объектов расчета) за год (Рвэд), а также об уровне рентабельности активов по виду экономической деятельности (r). Данные показатели могут быть определены на основе сведений государственной статистики с учетом вида экономической деятельности объектов регулирования.">
        <w:r>
          <w:rPr>
            <w:sz w:val="20"/>
            <w:color w:val="0000ff"/>
          </w:rPr>
          <w:t xml:space="preserve">пункте 64</w:t>
        </w:r>
      </w:hyperlink>
      <w:r>
        <w:rPr>
          <w:sz w:val="20"/>
        </w:rPr>
        <w:t xml:space="preserve"> настоящей главы;</w:t>
      </w:r>
    </w:p>
    <w:p>
      <w:pPr>
        <w:pStyle w:val="0"/>
        <w:spacing w:before="200" w:lineRule="auto"/>
        <w:ind w:firstLine="540"/>
        <w:jc w:val="both"/>
      </w:pPr>
      <w:r>
        <w:rPr>
          <w:sz w:val="20"/>
        </w:rPr>
        <w:t xml:space="preserve">i - количество групп объектов расчета.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66. Расчет суммарного объема недополученной прибыли по анализируемому требованию (LPотп) для всех групп объектов расчета за весь период оценивания осуществляется по формуле:</w:t>
      </w:r>
    </w:p>
    <w:p>
      <w:pPr>
        <w:pStyle w:val="0"/>
        <w:jc w:val="both"/>
      </w:pPr>
      <w:r>
        <w:rPr>
          <w:sz w:val="20"/>
        </w:rPr>
      </w:r>
    </w:p>
    <w:p>
      <w:pPr>
        <w:pStyle w:val="0"/>
        <w:jc w:val="center"/>
      </w:pPr>
      <w:r>
        <w:rPr>
          <w:sz w:val="20"/>
        </w:rPr>
        <w:t xml:space="preserve">LP</w:t>
      </w:r>
      <w:r>
        <w:rPr>
          <w:sz w:val="20"/>
          <w:vertAlign w:val="subscript"/>
        </w:rPr>
        <w:t xml:space="preserve">отп</w:t>
      </w:r>
      <w:r>
        <w:rPr>
          <w:sz w:val="20"/>
        </w:rPr>
        <w:t xml:space="preserve"> = LP</w:t>
      </w:r>
      <w:r>
        <w:rPr>
          <w:sz w:val="20"/>
          <w:vertAlign w:val="subscript"/>
        </w:rPr>
        <w:t xml:space="preserve">от</w:t>
      </w:r>
      <w:r>
        <w:rPr>
          <w:sz w:val="20"/>
        </w:rPr>
        <w:t xml:space="preserve">(1) + LP</w:t>
      </w:r>
      <w:r>
        <w:rPr>
          <w:sz w:val="20"/>
          <w:vertAlign w:val="subscript"/>
        </w:rPr>
        <w:t xml:space="preserve">от</w:t>
      </w:r>
      <w:r>
        <w:rPr>
          <w:sz w:val="20"/>
        </w:rPr>
        <w:t xml:space="preserve">(2) + LP</w:t>
      </w:r>
      <w:r>
        <w:rPr>
          <w:sz w:val="20"/>
          <w:vertAlign w:val="subscript"/>
        </w:rPr>
        <w:t xml:space="preserve">от</w:t>
      </w:r>
      <w:r>
        <w:rPr>
          <w:sz w:val="20"/>
        </w:rPr>
        <w:t xml:space="preserve">(3) + ... + LP</w:t>
      </w:r>
      <w:r>
        <w:rPr>
          <w:sz w:val="20"/>
          <w:vertAlign w:val="subscript"/>
        </w:rPr>
        <w:t xml:space="preserve">от</w:t>
      </w:r>
      <w:r>
        <w:rPr>
          <w:sz w:val="20"/>
        </w:rPr>
        <w:t xml:space="preserve">(n),</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 - количество лет в периоде оценивания (лет).</w:t>
      </w:r>
    </w:p>
    <w:p>
      <w:pPr>
        <w:pStyle w:val="0"/>
        <w:jc w:val="both"/>
      </w:pPr>
      <w:r>
        <w:rPr>
          <w:sz w:val="20"/>
        </w:rPr>
      </w:r>
    </w:p>
    <w:p>
      <w:pPr>
        <w:pStyle w:val="2"/>
        <w:outlineLvl w:val="2"/>
        <w:jc w:val="center"/>
      </w:pPr>
      <w:r>
        <w:rPr>
          <w:sz w:val="20"/>
        </w:rPr>
        <w:t xml:space="preserve">Глава 5. МЕТОДОЛОГИЯ РАСЧЕТА АЛЬТЕРНАТИВНЫХ ИЗДЕРЖЕК</w:t>
      </w:r>
    </w:p>
    <w:p>
      <w:pPr>
        <w:pStyle w:val="0"/>
        <w:jc w:val="both"/>
      </w:pPr>
      <w:r>
        <w:rPr>
          <w:sz w:val="20"/>
        </w:rPr>
      </w:r>
    </w:p>
    <w:p>
      <w:pPr>
        <w:pStyle w:val="0"/>
        <w:ind w:firstLine="540"/>
        <w:jc w:val="both"/>
      </w:pPr>
      <w:r>
        <w:rPr>
          <w:sz w:val="20"/>
        </w:rPr>
        <w:t xml:space="preserve">67. Альтернативные издержки субъектов предпринимательской деятельности оцениваются в отношении суммы информационных издержек, содержательных издержек и издержек простоя.</w:t>
      </w:r>
    </w:p>
    <w:p>
      <w:pPr>
        <w:pStyle w:val="0"/>
        <w:spacing w:before="200" w:lineRule="auto"/>
        <w:ind w:firstLine="540"/>
        <w:jc w:val="both"/>
      </w:pPr>
      <w:r>
        <w:rPr>
          <w:sz w:val="20"/>
        </w:rPr>
        <w:t xml:space="preserve">68. Проведение расчета альтернативных издержек предполагает последовательную реализацию следующих этапов:</w:t>
      </w:r>
    </w:p>
    <w:p>
      <w:pPr>
        <w:pStyle w:val="0"/>
        <w:spacing w:before="200" w:lineRule="auto"/>
        <w:ind w:firstLine="540"/>
        <w:jc w:val="both"/>
      </w:pPr>
      <w:r>
        <w:rPr>
          <w:sz w:val="20"/>
        </w:rPr>
        <w:t xml:space="preserve">1) расчет суммы всех временных издержек, всех издержек, связанных с приобретениями, и всей недополученной прибыли, необходимых для исполнения требования, за каждый год периода оценивания;</w:t>
      </w:r>
    </w:p>
    <w:p>
      <w:pPr>
        <w:pStyle w:val="0"/>
        <w:spacing w:before="200" w:lineRule="auto"/>
        <w:ind w:firstLine="540"/>
        <w:jc w:val="both"/>
      </w:pPr>
      <w:r>
        <w:rPr>
          <w:sz w:val="20"/>
        </w:rPr>
        <w:t xml:space="preserve">2) расчет значения альтернативных издержек за первый год и за период оценивания.</w:t>
      </w:r>
    </w:p>
    <w:bookmarkStart w:id="792" w:name="P792"/>
    <w:bookmarkEnd w:id="792"/>
    <w:p>
      <w:pPr>
        <w:pStyle w:val="0"/>
        <w:spacing w:before="200" w:lineRule="auto"/>
        <w:ind w:firstLine="540"/>
        <w:jc w:val="both"/>
      </w:pPr>
      <w:r>
        <w:rPr>
          <w:sz w:val="20"/>
        </w:rPr>
        <w:t xml:space="preserve">69. Расчет значения альтернативных издержек за период оценивания C</w:t>
      </w:r>
      <w:r>
        <w:rPr>
          <w:sz w:val="20"/>
          <w:vertAlign w:val="subscript"/>
        </w:rPr>
        <w:t xml:space="preserve">альт</w:t>
      </w:r>
      <w:r>
        <w:rPr>
          <w:sz w:val="20"/>
        </w:rPr>
        <w:t xml:space="preserve">(n) (рублей) осуществляется по формуле:</w:t>
      </w:r>
    </w:p>
    <w:p>
      <w:pPr>
        <w:pStyle w:val="0"/>
        <w:jc w:val="both"/>
      </w:pPr>
      <w:r>
        <w:rPr>
          <w:sz w:val="20"/>
        </w:rPr>
      </w:r>
    </w:p>
    <w:p>
      <w:pPr>
        <w:pStyle w:val="0"/>
        <w:jc w:val="center"/>
      </w:pPr>
      <w:r>
        <w:rPr>
          <w:position w:val="-10"/>
        </w:rPr>
        <w:drawing>
          <wp:inline distT="0" distB="0" distL="0" distR="0">
            <wp:extent cx="35147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
                      <a:extLst>
                        <a:ext uri="{28A0092B-C50C-407E-A947-70E740481C1C}">
                          <a14:useLocalDpi xmlns:a14="http://schemas.microsoft.com/office/drawing/2010/main" val="0"/>
                        </a:ext>
                      </a:extLst>
                    </a:blip>
                    <a:srcRect/>
                    <a:stretch>
                      <a:fillRect/>
                    </a:stretch>
                  </pic:blipFill>
                  <pic:spPr bwMode="auto">
                    <a:xfrm>
                      <a:off x="0" y="0"/>
                      <a:ext cx="351472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r - значение рентабельности активов по виду экономической деятельности, в котором осуществляют деятельность объекты регулирования, в отношении которых устанавливается (установлено) требование (процентов);</w:t>
      </w:r>
    </w:p>
    <w:p>
      <w:pPr>
        <w:pStyle w:val="0"/>
        <w:spacing w:before="200" w:lineRule="auto"/>
        <w:ind w:firstLine="540"/>
        <w:jc w:val="both"/>
      </w:pPr>
      <w:r>
        <w:rPr>
          <w:sz w:val="20"/>
        </w:rPr>
        <w:t xml:space="preserve">n - количество лет в периоде оценивания (лет);</w:t>
      </w:r>
    </w:p>
    <w:p>
      <w:pPr>
        <w:pStyle w:val="0"/>
        <w:spacing w:before="200" w:lineRule="auto"/>
        <w:ind w:firstLine="540"/>
        <w:jc w:val="both"/>
      </w:pPr>
      <w:r>
        <w:rPr>
          <w:sz w:val="20"/>
        </w:rPr>
        <w:t xml:space="preserve">TC</w:t>
      </w:r>
      <w:r>
        <w:rPr>
          <w:sz w:val="20"/>
          <w:vertAlign w:val="subscript"/>
        </w:rPr>
        <w:t xml:space="preserve">сумм</w:t>
      </w:r>
      <w:r>
        <w:rPr>
          <w:sz w:val="20"/>
        </w:rPr>
        <w:t xml:space="preserve">(i) - сумма всех затрат i-го года и недополученной прибыли (i-1)-го года (рублей).</w:t>
      </w:r>
    </w:p>
    <w:p>
      <w:pPr>
        <w:pStyle w:val="0"/>
        <w:spacing w:before="200" w:lineRule="auto"/>
        <w:ind w:firstLine="540"/>
        <w:jc w:val="both"/>
      </w:pPr>
      <w:r>
        <w:rPr>
          <w:sz w:val="20"/>
        </w:rPr>
        <w:t xml:space="preserve">Расчет суммы всех затрат j-го года с учетом инфляции и изменения уровня заработной платы (TC</w:t>
      </w:r>
      <w:r>
        <w:rPr>
          <w:sz w:val="20"/>
          <w:vertAlign w:val="superscript"/>
        </w:rPr>
        <w:t xml:space="preserve">сумм</w:t>
      </w:r>
      <w:r>
        <w:rPr>
          <w:sz w:val="20"/>
        </w:rPr>
        <w:t xml:space="preserve">(j) (рублей)) осуществляется по формуле:</w:t>
      </w:r>
    </w:p>
    <w:p>
      <w:pPr>
        <w:pStyle w:val="0"/>
        <w:jc w:val="both"/>
      </w:pPr>
      <w:r>
        <w:rPr>
          <w:sz w:val="20"/>
        </w:rPr>
      </w:r>
    </w:p>
    <w:p>
      <w:pPr>
        <w:pStyle w:val="0"/>
        <w:jc w:val="center"/>
      </w:pPr>
      <w:r>
        <w:rPr>
          <w:sz w:val="20"/>
        </w:rPr>
        <w:t xml:space="preserve">TC</w:t>
      </w:r>
      <w:r>
        <w:rPr>
          <w:sz w:val="20"/>
          <w:vertAlign w:val="superscript"/>
        </w:rPr>
        <w:t xml:space="preserve">сумм</w:t>
      </w:r>
      <w:r>
        <w:rPr>
          <w:sz w:val="20"/>
        </w:rPr>
        <w:t xml:space="preserve">(j) = [W</w:t>
      </w:r>
      <w:r>
        <w:rPr>
          <w:sz w:val="20"/>
          <w:vertAlign w:val="subscript"/>
        </w:rPr>
        <w:t xml:space="preserve">от</w:t>
      </w:r>
      <w:r>
        <w:rPr>
          <w:sz w:val="20"/>
        </w:rPr>
        <w:t xml:space="preserve">(j) + W</w:t>
      </w:r>
      <w:r>
        <w:rPr>
          <w:sz w:val="20"/>
          <w:vertAlign w:val="subscript"/>
        </w:rPr>
        <w:t xml:space="preserve">п</w:t>
      </w:r>
      <w:r>
        <w:rPr>
          <w:sz w:val="20"/>
        </w:rPr>
        <w:t xml:space="preserve">(j)] x Z(n) + [А</w:t>
      </w:r>
      <w:r>
        <w:rPr>
          <w:sz w:val="20"/>
          <w:vertAlign w:val="subscript"/>
        </w:rPr>
        <w:t xml:space="preserve">от</w:t>
      </w:r>
      <w:r>
        <w:rPr>
          <w:sz w:val="20"/>
        </w:rPr>
        <w:t xml:space="preserve">(j) + А</w:t>
      </w:r>
      <w:r>
        <w:rPr>
          <w:sz w:val="20"/>
          <w:vertAlign w:val="subscript"/>
        </w:rPr>
        <w:t xml:space="preserve">п</w:t>
      </w:r>
      <w:r>
        <w:rPr>
          <w:sz w:val="20"/>
        </w:rPr>
        <w:t xml:space="preserve">(j)] x</w:t>
      </w:r>
    </w:p>
    <w:p>
      <w:pPr>
        <w:pStyle w:val="0"/>
        <w:jc w:val="center"/>
      </w:pPr>
      <w:r>
        <w:rPr>
          <w:sz w:val="20"/>
        </w:rPr>
        <w:t xml:space="preserve">x K(j) + LP</w:t>
      </w:r>
      <w:r>
        <w:rPr>
          <w:sz w:val="20"/>
          <w:vertAlign w:val="subscript"/>
        </w:rPr>
        <w:t xml:space="preserve">от</w:t>
      </w:r>
      <w:r>
        <w:rPr>
          <w:sz w:val="20"/>
        </w:rPr>
        <w:t xml:space="preserve">(j - 1),</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W</w:t>
      </w:r>
      <w:r>
        <w:rPr>
          <w:sz w:val="20"/>
          <w:vertAlign w:val="subscript"/>
        </w:rPr>
        <w:t xml:space="preserve">от</w:t>
      </w:r>
      <w:r>
        <w:rPr>
          <w:sz w:val="20"/>
        </w:rPr>
        <w:t xml:space="preserve">(j) - сумма временных издержек по анализируемому требованию за j-й год (рублей);</w:t>
      </w:r>
    </w:p>
    <w:p>
      <w:pPr>
        <w:pStyle w:val="0"/>
        <w:spacing w:before="200" w:lineRule="auto"/>
        <w:ind w:firstLine="540"/>
        <w:jc w:val="both"/>
      </w:pPr>
      <w:r>
        <w:rPr>
          <w:sz w:val="20"/>
        </w:rPr>
        <w:t xml:space="preserve">W</w:t>
      </w:r>
      <w:r>
        <w:rPr>
          <w:sz w:val="20"/>
          <w:vertAlign w:val="subscript"/>
        </w:rPr>
        <w:t xml:space="preserve">п</w:t>
      </w:r>
      <w:r>
        <w:rPr>
          <w:sz w:val="20"/>
        </w:rPr>
        <w:t xml:space="preserve">(j) - суммарный объем временных издержек простоя по анализируемому требованию за j-й год (рублей);</w:t>
      </w:r>
    </w:p>
    <w:p>
      <w:pPr>
        <w:pStyle w:val="0"/>
        <w:spacing w:before="200" w:lineRule="auto"/>
        <w:ind w:firstLine="540"/>
        <w:jc w:val="both"/>
      </w:pPr>
      <w:r>
        <w:rPr>
          <w:sz w:val="20"/>
        </w:rPr>
        <w:t xml:space="preserve">А</w:t>
      </w:r>
      <w:r>
        <w:rPr>
          <w:sz w:val="20"/>
          <w:vertAlign w:val="subscript"/>
        </w:rPr>
        <w:t xml:space="preserve">от</w:t>
      </w:r>
      <w:r>
        <w:rPr>
          <w:sz w:val="20"/>
        </w:rPr>
        <w:t xml:space="preserve">(j) - сумма затрат, связанных с приобретениями по анализируемому требованию, за j-й год (рублей);</w:t>
      </w:r>
    </w:p>
    <w:p>
      <w:pPr>
        <w:pStyle w:val="0"/>
        <w:spacing w:before="200" w:lineRule="auto"/>
        <w:ind w:firstLine="540"/>
        <w:jc w:val="both"/>
      </w:pPr>
      <w:r>
        <w:rPr>
          <w:sz w:val="20"/>
        </w:rPr>
        <w:t xml:space="preserve">А</w:t>
      </w:r>
      <w:r>
        <w:rPr>
          <w:sz w:val="20"/>
          <w:vertAlign w:val="subscript"/>
        </w:rPr>
        <w:t xml:space="preserve">п</w:t>
      </w:r>
      <w:r>
        <w:rPr>
          <w:sz w:val="20"/>
        </w:rPr>
        <w:t xml:space="preserve">(j) - суммарный объем затрат простоя, связанных с приобретениями по анализируемому требованию за j-й год (Aпk(j) (рублей));</w:t>
      </w:r>
    </w:p>
    <w:p>
      <w:pPr>
        <w:pStyle w:val="0"/>
        <w:spacing w:before="200" w:lineRule="auto"/>
        <w:ind w:firstLine="540"/>
        <w:jc w:val="both"/>
      </w:pPr>
      <w:r>
        <w:rPr>
          <w:sz w:val="20"/>
        </w:rPr>
        <w:t xml:space="preserve">Z(n) - множитель, учитывающий рост заработной платы к j-му году действия требования (единиц);</w:t>
      </w:r>
    </w:p>
    <w:p>
      <w:pPr>
        <w:pStyle w:val="0"/>
        <w:spacing w:before="200" w:lineRule="auto"/>
        <w:ind w:firstLine="540"/>
        <w:jc w:val="both"/>
      </w:pPr>
      <w:r>
        <w:rPr>
          <w:sz w:val="20"/>
        </w:rPr>
        <w:t xml:space="preserve">K(j) - множитель, учитывающий накопление инфляции к j-му году действия требования (единиц);</w:t>
      </w:r>
    </w:p>
    <w:p>
      <w:pPr>
        <w:pStyle w:val="0"/>
        <w:spacing w:before="200" w:lineRule="auto"/>
        <w:ind w:firstLine="540"/>
        <w:jc w:val="both"/>
      </w:pPr>
      <w:r>
        <w:rPr>
          <w:sz w:val="20"/>
        </w:rPr>
        <w:t xml:space="preserve">LP</w:t>
      </w:r>
      <w:r>
        <w:rPr>
          <w:sz w:val="20"/>
          <w:vertAlign w:val="subscript"/>
        </w:rPr>
        <w:t xml:space="preserve">от</w:t>
      </w:r>
      <w:r>
        <w:rPr>
          <w:sz w:val="20"/>
        </w:rPr>
        <w:t xml:space="preserve">(j) - недополученная прибыль j-го года действия требования (рублей);</w:t>
      </w:r>
    </w:p>
    <w:p>
      <w:pPr>
        <w:pStyle w:val="0"/>
        <w:spacing w:before="200" w:lineRule="auto"/>
        <w:ind w:firstLine="540"/>
        <w:jc w:val="both"/>
      </w:pPr>
      <w:r>
        <w:rPr>
          <w:sz w:val="20"/>
        </w:rPr>
        <w:t xml:space="preserve">LP</w:t>
      </w:r>
      <w:r>
        <w:rPr>
          <w:sz w:val="20"/>
          <w:vertAlign w:val="subscript"/>
        </w:rPr>
        <w:t xml:space="preserve">от</w:t>
      </w:r>
      <w:r>
        <w:rPr>
          <w:sz w:val="20"/>
        </w:rPr>
        <w:t xml:space="preserve">(0) = 0.</w:t>
      </w:r>
    </w:p>
    <w:p>
      <w:pPr>
        <w:pStyle w:val="0"/>
        <w:spacing w:before="200" w:lineRule="auto"/>
        <w:ind w:firstLine="540"/>
        <w:jc w:val="both"/>
      </w:pPr>
      <w:r>
        <w:rPr>
          <w:sz w:val="20"/>
        </w:rPr>
        <w:t xml:space="preserve">Значения прогнозируемых прироста номинальной заработной платы работников организаций в Российской Федерации (zn) и прироста потребительских цен (kj) применяются в соответствии с текущим трехлетним прогнозом социально-экономического развития Российской Федерации, разрабатываемым Минэкономразвития России.</w:t>
      </w:r>
    </w:p>
    <w:p>
      <w:pPr>
        <w:pStyle w:val="0"/>
        <w:spacing w:before="200" w:lineRule="auto"/>
        <w:ind w:firstLine="540"/>
        <w:jc w:val="both"/>
      </w:pPr>
      <w:r>
        <w:rPr>
          <w:sz w:val="20"/>
        </w:rPr>
        <w:t xml:space="preserve">70. Расчет множителя, учитывающего рост заработной платы к j-му году действия требования Z(j) (единиц), осуществляется по формуле:</w:t>
      </w:r>
    </w:p>
    <w:p>
      <w:pPr>
        <w:pStyle w:val="0"/>
        <w:jc w:val="both"/>
      </w:pPr>
      <w:r>
        <w:rPr>
          <w:sz w:val="20"/>
        </w:rPr>
      </w:r>
    </w:p>
    <w:p>
      <w:pPr>
        <w:pStyle w:val="0"/>
        <w:jc w:val="center"/>
      </w:pPr>
      <w:r>
        <w:rPr>
          <w:sz w:val="20"/>
        </w:rPr>
        <w:t xml:space="preserve">Z(j) = Z(j - 1) x (1 + zj - 1); Z(0) = 1; z0 = 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zj - прогнозируемый прирост номинальной заработной платы работников организаций в Российской Федерации в j-м году действия требования (тысячных долей).</w:t>
      </w:r>
    </w:p>
    <w:p>
      <w:pPr>
        <w:pStyle w:val="0"/>
        <w:spacing w:before="200" w:lineRule="auto"/>
        <w:ind w:firstLine="540"/>
        <w:jc w:val="both"/>
      </w:pPr>
      <w:r>
        <w:rPr>
          <w:sz w:val="20"/>
        </w:rPr>
        <w:t xml:space="preserve">71. Расчет множителя, учитывающего накопление инфляции к j-му году действия требования (единиц), осуществляется по формуле:</w:t>
      </w:r>
    </w:p>
    <w:p>
      <w:pPr>
        <w:pStyle w:val="0"/>
        <w:jc w:val="both"/>
      </w:pPr>
      <w:r>
        <w:rPr>
          <w:sz w:val="20"/>
        </w:rPr>
      </w:r>
    </w:p>
    <w:p>
      <w:pPr>
        <w:pStyle w:val="0"/>
        <w:jc w:val="center"/>
      </w:pPr>
      <w:r>
        <w:rPr>
          <w:sz w:val="20"/>
        </w:rPr>
        <w:t xml:space="preserve">K(j) = K(j - 1) x (1 + kj - 1); K(0) = 1; k0 = 0,</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kj - прогнозируемый прирост потребительских цен j-го года действия требования (тысячных долей).</w:t>
      </w:r>
    </w:p>
    <w:p>
      <w:pPr>
        <w:pStyle w:val="0"/>
        <w:spacing w:before="200" w:lineRule="auto"/>
        <w:ind w:firstLine="540"/>
        <w:jc w:val="both"/>
      </w:pPr>
      <w:r>
        <w:rPr>
          <w:sz w:val="20"/>
        </w:rPr>
        <w:t xml:space="preserve">72. При наличии простоев в периоде оценивания суммарная продолжительность простоя исключается из периода оценки величины альтернативных издержек. В этом случае расчет итогового значения суммы альтернативных издержек за период оценивания (C</w:t>
      </w:r>
      <w:r>
        <w:rPr>
          <w:sz w:val="20"/>
          <w:vertAlign w:val="subscript"/>
        </w:rPr>
        <w:t xml:space="preserve">альт-итог</w:t>
      </w:r>
      <w:r>
        <w:rPr>
          <w:sz w:val="20"/>
        </w:rPr>
        <w:t xml:space="preserve">) (рублей) осуществляется по формуле:</w:t>
      </w:r>
    </w:p>
    <w:p>
      <w:pPr>
        <w:pStyle w:val="0"/>
        <w:jc w:val="both"/>
      </w:pPr>
      <w:r>
        <w:rPr>
          <w:sz w:val="20"/>
        </w:rPr>
      </w:r>
    </w:p>
    <w:p>
      <w:pPr>
        <w:pStyle w:val="0"/>
        <w:jc w:val="center"/>
      </w:pPr>
      <w:r>
        <w:rPr>
          <w:sz w:val="20"/>
        </w:rPr>
        <w:t xml:space="preserve">C</w:t>
      </w:r>
      <w:r>
        <w:rPr>
          <w:sz w:val="20"/>
          <w:vertAlign w:val="subscript"/>
        </w:rPr>
        <w:t xml:space="preserve">альт-итог</w:t>
      </w:r>
      <w:r>
        <w:rPr>
          <w:sz w:val="20"/>
        </w:rPr>
        <w:t xml:space="preserve"> = C</w:t>
      </w:r>
      <w:r>
        <w:rPr>
          <w:sz w:val="20"/>
          <w:vertAlign w:val="subscript"/>
        </w:rPr>
        <w:t xml:space="preserve">альт</w:t>
      </w:r>
      <w:r>
        <w:rPr>
          <w:sz w:val="20"/>
        </w:rPr>
        <w:t xml:space="preserve">(n) x (1 - d</w:t>
      </w:r>
      <w:r>
        <w:rPr>
          <w:sz w:val="20"/>
          <w:vertAlign w:val="subscript"/>
        </w:rPr>
        <w:t xml:space="preserve">пк</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альт</w:t>
      </w:r>
      <w:r>
        <w:rPr>
          <w:sz w:val="20"/>
        </w:rPr>
        <w:t xml:space="preserve">(n) - значение альтернативных издержек за период оценивания, рассчитанное в соответствии с </w:t>
      </w:r>
      <w:hyperlink w:history="0" w:anchor="P792" w:tooltip="69. Расчет значения альтернативных издержек за период оценивания Cальт(n) (рублей) осуществляется по формуле:">
        <w:r>
          <w:rPr>
            <w:sz w:val="20"/>
            <w:color w:val="0000ff"/>
          </w:rPr>
          <w:t xml:space="preserve">пунктом 69</w:t>
        </w:r>
      </w:hyperlink>
      <w:r>
        <w:rPr>
          <w:sz w:val="20"/>
        </w:rPr>
        <w:t xml:space="preserve"> настоящей методики (рублей);</w:t>
      </w:r>
    </w:p>
    <w:p>
      <w:pPr>
        <w:pStyle w:val="0"/>
        <w:spacing w:before="200" w:lineRule="auto"/>
        <w:ind w:firstLine="540"/>
        <w:jc w:val="both"/>
      </w:pPr>
      <w:r>
        <w:rPr>
          <w:sz w:val="20"/>
        </w:rPr>
        <w:t xml:space="preserve">d</w:t>
      </w:r>
      <w:r>
        <w:rPr>
          <w:sz w:val="20"/>
          <w:vertAlign w:val="subscript"/>
        </w:rPr>
        <w:t xml:space="preserve">пк</w:t>
      </w:r>
      <w:r>
        <w:rPr>
          <w:sz w:val="20"/>
        </w:rPr>
        <w:t xml:space="preserve"> - доля суммарной длительности простоев в общем фонде рабочего времени в периоде оценивания по всем объектам расчета и случаям простоя, рассчитанная в соответствии с </w:t>
      </w:r>
      <w:hyperlink w:history="0" w:anchor="P754" w:tooltip="63. Доля простоя в суммарном фонде рабочего времени объекта расчета dп(j) (тысячных долей) определяется по формуле:">
        <w:r>
          <w:rPr>
            <w:sz w:val="20"/>
            <w:color w:val="0000ff"/>
          </w:rPr>
          <w:t xml:space="preserve">пунктом 63</w:t>
        </w:r>
      </w:hyperlink>
      <w:r>
        <w:rPr>
          <w:sz w:val="20"/>
        </w:rPr>
        <w:t xml:space="preserve"> настоящей методики (тысячных долей).</w:t>
      </w:r>
    </w:p>
    <w:p>
      <w:pPr>
        <w:pStyle w:val="0"/>
        <w:spacing w:before="200" w:lineRule="auto"/>
        <w:ind w:firstLine="540"/>
        <w:jc w:val="both"/>
      </w:pPr>
      <w:r>
        <w:rPr>
          <w:sz w:val="20"/>
        </w:rPr>
        <w:t xml:space="preserve">73. В целях определения значения рентабельности активов по виду экономической деятельности, в котором осуществляют деятельность объекты регулирования, в отношении которых устанавливается (установлено) требование, используются данные налоговой службы о средней рентабельности активов по видам экономической деятельности. В случае если рентабельность активов по виду деятельности имеет нулевое или отрицательное значение, альтернативные издержки принимаются равными нулю.</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методическим рекомендациям</w:t>
      </w:r>
    </w:p>
    <w:p>
      <w:pPr>
        <w:pStyle w:val="0"/>
        <w:jc w:val="right"/>
      </w:pPr>
      <w:r>
        <w:rPr>
          <w:sz w:val="20"/>
        </w:rPr>
        <w:t xml:space="preserve">по составлению уведомления</w:t>
      </w:r>
    </w:p>
    <w:p>
      <w:pPr>
        <w:pStyle w:val="0"/>
        <w:jc w:val="right"/>
      </w:pPr>
      <w:r>
        <w:rPr>
          <w:sz w:val="20"/>
        </w:rPr>
        <w:t xml:space="preserve">о проведении публичных</w:t>
      </w:r>
    </w:p>
    <w:p>
      <w:pPr>
        <w:pStyle w:val="0"/>
        <w:jc w:val="right"/>
      </w:pPr>
      <w:r>
        <w:rPr>
          <w:sz w:val="20"/>
        </w:rPr>
        <w:t xml:space="preserve">консультаций и заключения</w:t>
      </w:r>
    </w:p>
    <w:p>
      <w:pPr>
        <w:pStyle w:val="0"/>
        <w:jc w:val="right"/>
      </w:pPr>
      <w:r>
        <w:rPr>
          <w:sz w:val="20"/>
        </w:rPr>
        <w:t xml:space="preserve">об оценке регулирующего</w:t>
      </w:r>
    </w:p>
    <w:p>
      <w:pPr>
        <w:pStyle w:val="0"/>
        <w:jc w:val="right"/>
      </w:pPr>
      <w:r>
        <w:rPr>
          <w:sz w:val="20"/>
        </w:rPr>
        <w:t xml:space="preserve">воздействия</w:t>
      </w:r>
    </w:p>
    <w:p>
      <w:pPr>
        <w:pStyle w:val="0"/>
        <w:jc w:val="both"/>
      </w:pPr>
      <w:r>
        <w:rPr>
          <w:sz w:val="20"/>
        </w:rPr>
      </w:r>
    </w:p>
    <w:p>
      <w:pPr>
        <w:pStyle w:val="0"/>
        <w:jc w:val="both"/>
      </w:pPr>
      <w:r>
        <w:rPr>
          <w:sz w:val="20"/>
        </w:rPr>
        <w:t xml:space="preserve">Форма</w:t>
      </w:r>
    </w:p>
    <w:p>
      <w:pPr>
        <w:pStyle w:val="0"/>
        <w:jc w:val="both"/>
      </w:pPr>
      <w:r>
        <w:rPr>
          <w:sz w:val="20"/>
        </w:rPr>
      </w:r>
    </w:p>
    <w:bookmarkStart w:id="850" w:name="P850"/>
    <w:bookmarkEnd w:id="850"/>
    <w:p>
      <w:pPr>
        <w:pStyle w:val="0"/>
        <w:jc w:val="center"/>
      </w:pPr>
      <w:r>
        <w:rPr>
          <w:sz w:val="20"/>
        </w:rPr>
        <w:t xml:space="preserve">УВЕДОМЛЕНИЕ</w:t>
      </w:r>
    </w:p>
    <w:p>
      <w:pPr>
        <w:pStyle w:val="0"/>
        <w:jc w:val="center"/>
      </w:pPr>
      <w:r>
        <w:rPr>
          <w:sz w:val="20"/>
        </w:rPr>
        <w:t xml:space="preserve">о подготовке проекта нормативного правового акта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47"/>
        <w:gridCol w:w="2494"/>
      </w:tblGrid>
      <w:tr>
        <w:tc>
          <w:tcPr>
            <w:tcW w:w="6547" w:type="dxa"/>
          </w:tcPr>
          <w:p>
            <w:pPr>
              <w:pStyle w:val="0"/>
              <w:ind w:firstLine="283"/>
            </w:pPr>
            <w:r>
              <w:rPr>
                <w:sz w:val="20"/>
              </w:rPr>
              <w:t xml:space="preserve">Вид нормативного правового акта:</w:t>
            </w:r>
          </w:p>
        </w:tc>
        <w:tc>
          <w:tcPr>
            <w:tcW w:w="2494" w:type="dxa"/>
          </w:tcPr>
          <w:p>
            <w:pPr>
              <w:pStyle w:val="0"/>
            </w:pPr>
            <w:r>
              <w:rPr>
                <w:sz w:val="20"/>
              </w:rPr>
            </w:r>
          </w:p>
        </w:tc>
      </w:tr>
      <w:tr>
        <w:tc>
          <w:tcPr>
            <w:tcW w:w="6547" w:type="dxa"/>
          </w:tcPr>
          <w:p>
            <w:pPr>
              <w:pStyle w:val="0"/>
              <w:ind w:firstLine="283"/>
            </w:pPr>
            <w:r>
              <w:rPr>
                <w:sz w:val="20"/>
              </w:rPr>
              <w:t xml:space="preserve">Наименование нормативного правового акта:</w:t>
            </w:r>
          </w:p>
        </w:tc>
        <w:tc>
          <w:tcPr>
            <w:tcW w:w="2494" w:type="dxa"/>
          </w:tcPr>
          <w:p>
            <w:pPr>
              <w:pStyle w:val="0"/>
            </w:pPr>
            <w:r>
              <w:rPr>
                <w:sz w:val="20"/>
              </w:rPr>
            </w:r>
          </w:p>
        </w:tc>
      </w:tr>
      <w:tr>
        <w:tc>
          <w:tcPr>
            <w:tcW w:w="6547" w:type="dxa"/>
          </w:tcPr>
          <w:p>
            <w:pPr>
              <w:pStyle w:val="0"/>
              <w:ind w:firstLine="283"/>
            </w:pPr>
            <w:r>
              <w:rPr>
                <w:sz w:val="20"/>
              </w:rPr>
              <w:t xml:space="preserve">Сведения о разработчике нормативного правового акта:</w:t>
            </w:r>
          </w:p>
        </w:tc>
        <w:tc>
          <w:tcPr>
            <w:tcW w:w="2494" w:type="dxa"/>
          </w:tcPr>
          <w:p>
            <w:pPr>
              <w:pStyle w:val="0"/>
            </w:pPr>
            <w:r>
              <w:rPr>
                <w:sz w:val="20"/>
              </w:rPr>
            </w:r>
          </w:p>
        </w:tc>
      </w:tr>
      <w:tr>
        <w:tc>
          <w:tcPr>
            <w:tcW w:w="6547" w:type="dxa"/>
          </w:tcPr>
          <w:p>
            <w:pPr>
              <w:pStyle w:val="0"/>
              <w:ind w:firstLine="283"/>
            </w:pPr>
            <w:r>
              <w:rPr>
                <w:sz w:val="20"/>
              </w:rPr>
              <w:t xml:space="preserve">Планируемый срок вступления нормативного правового акта в силу:</w:t>
            </w:r>
          </w:p>
        </w:tc>
        <w:tc>
          <w:tcPr>
            <w:tcW w:w="2494" w:type="dxa"/>
          </w:tcPr>
          <w:p>
            <w:pPr>
              <w:pStyle w:val="0"/>
            </w:pPr>
            <w:r>
              <w:rPr>
                <w:sz w:val="20"/>
              </w:rPr>
            </w:r>
          </w:p>
        </w:tc>
      </w:tr>
      <w:tr>
        <w:tc>
          <w:tcPr>
            <w:tcW w:w="6547" w:type="dxa"/>
          </w:tcPr>
          <w:p>
            <w:pPr>
              <w:pStyle w:val="0"/>
              <w:ind w:firstLine="283"/>
            </w:pPr>
            <w:r>
              <w:rPr>
                <w:sz w:val="20"/>
              </w:rPr>
              <w:t xml:space="preserve">Обоснование необходимости подготовки проекта нормативного правового акта:</w:t>
            </w:r>
          </w:p>
        </w:tc>
        <w:tc>
          <w:tcPr>
            <w:tcW w:w="2494" w:type="dxa"/>
          </w:tcPr>
          <w:p>
            <w:pPr>
              <w:pStyle w:val="0"/>
            </w:pPr>
            <w:r>
              <w:rPr>
                <w:sz w:val="20"/>
              </w:rPr>
            </w:r>
          </w:p>
        </w:tc>
      </w:tr>
      <w:tr>
        <w:tc>
          <w:tcPr>
            <w:tcW w:w="6547" w:type="dxa"/>
          </w:tcPr>
          <w:p>
            <w:pPr>
              <w:pStyle w:val="0"/>
              <w:ind w:firstLine="283"/>
            </w:pPr>
            <w:r>
              <w:rPr>
                <w:sz w:val="20"/>
              </w:rPr>
              <w:t xml:space="preserve">Описание проблемы, на решение которой направлен предлагаемый способ регулирования:</w:t>
            </w:r>
          </w:p>
        </w:tc>
        <w:tc>
          <w:tcPr>
            <w:tcW w:w="2494" w:type="dxa"/>
          </w:tcPr>
          <w:p>
            <w:pPr>
              <w:pStyle w:val="0"/>
            </w:pPr>
            <w:r>
              <w:rPr>
                <w:sz w:val="20"/>
              </w:rPr>
            </w:r>
          </w:p>
        </w:tc>
      </w:tr>
      <w:tr>
        <w:tc>
          <w:tcPr>
            <w:tcW w:w="6547" w:type="dxa"/>
          </w:tcPr>
          <w:p>
            <w:pPr>
              <w:pStyle w:val="0"/>
              <w:ind w:firstLine="283"/>
            </w:pPr>
            <w:r>
              <w:rPr>
                <w:sz w:val="20"/>
              </w:rPr>
              <w:t xml:space="preserve">Круг заинтересованных лиц:</w:t>
            </w:r>
          </w:p>
        </w:tc>
        <w:tc>
          <w:tcPr>
            <w:tcW w:w="2494" w:type="dxa"/>
          </w:tcPr>
          <w:p>
            <w:pPr>
              <w:pStyle w:val="0"/>
            </w:pPr>
            <w:r>
              <w:rPr>
                <w:sz w:val="20"/>
              </w:rPr>
            </w:r>
          </w:p>
        </w:tc>
      </w:tr>
      <w:tr>
        <w:tc>
          <w:tcPr>
            <w:tcW w:w="6547" w:type="dxa"/>
          </w:tcPr>
          <w:p>
            <w:pPr>
              <w:pStyle w:val="0"/>
              <w:ind w:firstLine="283"/>
            </w:pPr>
            <w:r>
              <w:rPr>
                <w:sz w:val="20"/>
              </w:rPr>
              <w:t xml:space="preserve">Краткое изложение целей регулирования:</w:t>
            </w:r>
          </w:p>
        </w:tc>
        <w:tc>
          <w:tcPr>
            <w:tcW w:w="2494" w:type="dxa"/>
          </w:tcPr>
          <w:p>
            <w:pPr>
              <w:pStyle w:val="0"/>
            </w:pPr>
            <w:r>
              <w:rPr>
                <w:sz w:val="20"/>
              </w:rPr>
            </w:r>
          </w:p>
        </w:tc>
      </w:tr>
      <w:tr>
        <w:tc>
          <w:tcPr>
            <w:tcW w:w="6547" w:type="dxa"/>
          </w:tcPr>
          <w:p>
            <w:pPr>
              <w:pStyle w:val="0"/>
              <w:ind w:firstLine="283"/>
            </w:pPr>
            <w:r>
              <w:rPr>
                <w:sz w:val="20"/>
              </w:rPr>
              <w:t xml:space="preserve">Общая характеристика соответствующих общественных отношений:</w:t>
            </w:r>
          </w:p>
        </w:tc>
        <w:tc>
          <w:tcPr>
            <w:tcW w:w="2494" w:type="dxa"/>
          </w:tcPr>
          <w:p>
            <w:pPr>
              <w:pStyle w:val="0"/>
            </w:pPr>
            <w:r>
              <w:rPr>
                <w:sz w:val="20"/>
              </w:rPr>
            </w:r>
          </w:p>
        </w:tc>
      </w:tr>
      <w:tr>
        <w:tc>
          <w:tcPr>
            <w:tcW w:w="6547" w:type="dxa"/>
          </w:tcPr>
          <w:p>
            <w:pPr>
              <w:pStyle w:val="0"/>
              <w:ind w:firstLine="283"/>
            </w:pPr>
            <w:r>
              <w:rPr>
                <w:sz w:val="20"/>
              </w:rPr>
              <w:t xml:space="preserve">Описание альтернативных способов регулирования, преимуществ и недостатков каждого способа:</w:t>
            </w:r>
          </w:p>
        </w:tc>
        <w:tc>
          <w:tcPr>
            <w:tcW w:w="2494" w:type="dxa"/>
          </w:tcPr>
          <w:p>
            <w:pPr>
              <w:pStyle w:val="0"/>
            </w:pPr>
            <w:r>
              <w:rPr>
                <w:sz w:val="20"/>
              </w:rPr>
            </w:r>
          </w:p>
        </w:tc>
      </w:tr>
      <w:tr>
        <w:tc>
          <w:tcPr>
            <w:tcW w:w="6547" w:type="dxa"/>
          </w:tcPr>
          <w:p>
            <w:pPr>
              <w:pStyle w:val="0"/>
              <w:ind w:firstLine="283"/>
            </w:pPr>
            <w:r>
              <w:rPr>
                <w:sz w:val="20"/>
              </w:rPr>
              <w:t xml:space="preserve">Длительность публичного обсуждения:</w:t>
            </w:r>
          </w:p>
        </w:tc>
        <w:tc>
          <w:tcPr>
            <w:tcW w:w="2494" w:type="dxa"/>
          </w:tcPr>
          <w:p>
            <w:pPr>
              <w:pStyle w:val="0"/>
            </w:pPr>
            <w:r>
              <w:rPr>
                <w:sz w:val="20"/>
              </w:rPr>
            </w:r>
          </w:p>
        </w:tc>
      </w:tr>
      <w:tr>
        <w:tc>
          <w:tcPr>
            <w:tcW w:w="6547" w:type="dxa"/>
          </w:tcPr>
          <w:p>
            <w:pPr>
              <w:pStyle w:val="0"/>
              <w:ind w:firstLine="283"/>
            </w:pPr>
            <w:r>
              <w:rPr>
                <w:sz w:val="20"/>
              </w:rPr>
              <w:t xml:space="preserve">Срок переходного периода:</w:t>
            </w:r>
          </w:p>
        </w:tc>
        <w:tc>
          <w:tcPr>
            <w:tcW w:w="2494" w:type="dxa"/>
          </w:tcPr>
          <w:p>
            <w:pPr>
              <w:pStyle w:val="0"/>
            </w:pPr>
            <w:r>
              <w:rPr>
                <w:sz w:val="20"/>
              </w:rPr>
            </w:r>
          </w:p>
        </w:tc>
      </w:tr>
      <w:tr>
        <w:tc>
          <w:tcPr>
            <w:tcW w:w="6547" w:type="dxa"/>
          </w:tcPr>
          <w:p>
            <w:pPr>
              <w:pStyle w:val="0"/>
              <w:ind w:firstLine="283"/>
            </w:pPr>
            <w:r>
              <w:rPr>
                <w:sz w:val="20"/>
              </w:rPr>
              <w:t xml:space="preserve">Иная информация:</w:t>
            </w:r>
          </w:p>
        </w:tc>
        <w:tc>
          <w:tcPr>
            <w:tcW w:w="2494"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912"/>
        <w:gridCol w:w="340"/>
        <w:gridCol w:w="1701"/>
        <w:gridCol w:w="510"/>
        <w:gridCol w:w="2598"/>
      </w:tblGrid>
      <w:tr>
        <w:tc>
          <w:tcPr>
            <w:gridSpan w:val="2"/>
            <w:tcW w:w="4252" w:type="dxa"/>
            <w:tcBorders>
              <w:top w:val="nil"/>
              <w:left w:val="nil"/>
              <w:bottom w:val="nil"/>
              <w:right w:val="nil"/>
            </w:tcBorders>
          </w:tcPr>
          <w:p>
            <w:pPr>
              <w:pStyle w:val="0"/>
            </w:pPr>
            <w:r>
              <w:rPr>
                <w:sz w:val="20"/>
              </w:rPr>
              <w:t xml:space="preserve">Руководитель (заместитель руководителя) профильного органа</w:t>
            </w:r>
          </w:p>
        </w:tc>
        <w:tc>
          <w:tcPr>
            <w:gridSpan w:val="3"/>
            <w:tcW w:w="4809" w:type="dxa"/>
            <w:tcBorders>
              <w:top w:val="nil"/>
              <w:left w:val="nil"/>
              <w:bottom w:val="nil"/>
              <w:right w:val="nil"/>
            </w:tcBorders>
          </w:tcPr>
          <w:p>
            <w:pPr>
              <w:pStyle w:val="0"/>
            </w:pPr>
            <w:r>
              <w:rPr>
                <w:sz w:val="20"/>
              </w:rPr>
            </w:r>
          </w:p>
        </w:tc>
      </w:tr>
      <w:tr>
        <w:tc>
          <w:tcPr>
            <w:tcW w:w="3912"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701" w:type="dxa"/>
            <w:tcBorders>
              <w:top w:val="nil"/>
              <w:left w:val="nil"/>
              <w:bottom w:val="single" w:sz="4"/>
              <w:right w:val="nil"/>
            </w:tcBorders>
          </w:tcPr>
          <w:p>
            <w:pPr>
              <w:pStyle w:val="0"/>
            </w:pPr>
            <w:r>
              <w:rPr>
                <w:sz w:val="20"/>
              </w:rPr>
            </w:r>
          </w:p>
        </w:tc>
        <w:tc>
          <w:tcPr>
            <w:tcW w:w="510" w:type="dxa"/>
            <w:tcBorders>
              <w:top w:val="nil"/>
              <w:left w:val="nil"/>
              <w:bottom w:val="nil"/>
              <w:right w:val="nil"/>
            </w:tcBorders>
          </w:tcPr>
          <w:p>
            <w:pPr>
              <w:pStyle w:val="0"/>
            </w:pPr>
            <w:r>
              <w:rPr>
                <w:sz w:val="20"/>
              </w:rPr>
            </w:r>
          </w:p>
        </w:tc>
        <w:tc>
          <w:tcPr>
            <w:tcW w:w="2598" w:type="dxa"/>
            <w:tcBorders>
              <w:top w:val="nil"/>
              <w:left w:val="nil"/>
              <w:bottom w:val="single" w:sz="4"/>
              <w:right w:val="nil"/>
            </w:tcBorders>
          </w:tcPr>
          <w:p>
            <w:pPr>
              <w:pStyle w:val="0"/>
            </w:pPr>
            <w:r>
              <w:rPr>
                <w:sz w:val="20"/>
              </w:rPr>
            </w:r>
          </w:p>
        </w:tc>
      </w:tr>
      <w:tr>
        <w:tblPrEx>
          <w:tblBorders>
            <w:insideH w:val="single" w:sz="4"/>
          </w:tblBorders>
        </w:tblPrEx>
        <w:tc>
          <w:tcPr>
            <w:tcW w:w="3912" w:type="dxa"/>
            <w:tcBorders>
              <w:top w:val="single" w:sz="4"/>
              <w:left w:val="nil"/>
              <w:bottom w:val="nil"/>
              <w:right w:val="nil"/>
            </w:tcBorders>
          </w:tcPr>
          <w:p>
            <w:pPr>
              <w:pStyle w:val="0"/>
              <w:jc w:val="center"/>
            </w:pPr>
            <w:r>
              <w:rPr>
                <w:sz w:val="20"/>
              </w:rPr>
              <w:t xml:space="preserve">(инициалы, фамилия)</w:t>
            </w:r>
          </w:p>
        </w:tc>
        <w:tc>
          <w:tcPr>
            <w:tcW w:w="340" w:type="dxa"/>
            <w:tcBorders>
              <w:top w:val="nil"/>
              <w:left w:val="nil"/>
              <w:bottom w:val="nil"/>
              <w:right w:val="nil"/>
            </w:tcBorders>
          </w:tcPr>
          <w:p>
            <w:pPr>
              <w:pStyle w:val="0"/>
            </w:pPr>
            <w:r>
              <w:rPr>
                <w:sz w:val="20"/>
              </w:rPr>
            </w:r>
          </w:p>
        </w:tc>
        <w:tc>
          <w:tcPr>
            <w:tcW w:w="1701" w:type="dxa"/>
            <w:tcBorders>
              <w:top w:val="single" w:sz="4"/>
              <w:left w:val="nil"/>
              <w:bottom w:val="nil"/>
              <w:right w:val="nil"/>
            </w:tcBorders>
          </w:tcPr>
          <w:p>
            <w:pPr>
              <w:pStyle w:val="0"/>
              <w:jc w:val="center"/>
            </w:pPr>
            <w:r>
              <w:rPr>
                <w:sz w:val="20"/>
              </w:rPr>
              <w:t xml:space="preserve">дата</w:t>
            </w:r>
          </w:p>
        </w:tc>
        <w:tc>
          <w:tcPr>
            <w:tcW w:w="510" w:type="dxa"/>
            <w:tcBorders>
              <w:top w:val="nil"/>
              <w:left w:val="nil"/>
              <w:bottom w:val="nil"/>
              <w:right w:val="nil"/>
            </w:tcBorders>
          </w:tcPr>
          <w:p>
            <w:pPr>
              <w:pStyle w:val="0"/>
            </w:pPr>
            <w:r>
              <w:rPr>
                <w:sz w:val="20"/>
              </w:rPr>
            </w:r>
          </w:p>
        </w:tc>
        <w:tc>
          <w:tcPr>
            <w:tcW w:w="2598" w:type="dxa"/>
            <w:tcBorders>
              <w:top w:val="single" w:sz="4"/>
              <w:left w:val="nil"/>
              <w:bottom w:val="nil"/>
              <w:right w:val="nil"/>
            </w:tcBorders>
          </w:tcPr>
          <w:p>
            <w:pPr>
              <w:pStyle w:val="0"/>
              <w:jc w:val="center"/>
            </w:pPr>
            <w:r>
              <w:rPr>
                <w:sz w:val="20"/>
              </w:rPr>
              <w:t xml:space="preserve">подпись</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Приложений дана в соответствии с изменениями, внесенными </w:t>
            </w:r>
            <w:hyperlink w:history="0" r:id="rId72"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Приказом</w:t>
              </w:r>
            </w:hyperlink>
            <w:r>
              <w:rPr>
                <w:sz w:val="20"/>
                <w:color w:val="392c69"/>
              </w:rPr>
              <w:t xml:space="preserve"> Минэкономики и терразвития СО от 06.09.2022 N 90.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outlineLvl w:val="0"/>
        <w:jc w:val="right"/>
      </w:pPr>
      <w:r>
        <w:rPr>
          <w:sz w:val="20"/>
        </w:rPr>
        <w:t xml:space="preserve">Приложение N 4</w:t>
      </w:r>
    </w:p>
    <w:p>
      <w:pPr>
        <w:pStyle w:val="0"/>
        <w:jc w:val="right"/>
      </w:pPr>
      <w:r>
        <w:rPr>
          <w:sz w:val="20"/>
        </w:rPr>
        <w:t xml:space="preserve">к Приказу</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3"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Приказа</w:t>
              </w:r>
            </w:hyperlink>
            <w:r>
              <w:rPr>
                <w:sz w:val="20"/>
                <w:color w:val="392c69"/>
              </w:rPr>
              <w:t xml:space="preserve"> Минэкономики и терразвития СО от 06.09.2022 N 90)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both"/>
      </w:pPr>
      <w:r>
        <w:rPr>
          <w:sz w:val="20"/>
        </w:rPr>
        <w:t xml:space="preserve">Форма</w:t>
      </w:r>
    </w:p>
    <w:p>
      <w:pPr>
        <w:pStyle w:val="0"/>
        <w:jc w:val="both"/>
      </w:pPr>
      <w:r>
        <w:rPr>
          <w:sz w:val="20"/>
        </w:rPr>
      </w:r>
    </w:p>
    <w:bookmarkStart w:id="910" w:name="P910"/>
    <w:bookmarkEnd w:id="910"/>
    <w:p>
      <w:pPr>
        <w:pStyle w:val="0"/>
        <w:jc w:val="center"/>
      </w:pPr>
      <w:r>
        <w:rPr>
          <w:sz w:val="20"/>
        </w:rPr>
        <w:t xml:space="preserve">РЕЕСТР</w:t>
      </w:r>
    </w:p>
    <w:p>
      <w:pPr>
        <w:pStyle w:val="0"/>
        <w:jc w:val="center"/>
      </w:pPr>
      <w:r>
        <w:rPr>
          <w:sz w:val="20"/>
        </w:rPr>
        <w:t xml:space="preserve">проектов нормативных правовых актов Свердловской области,</w:t>
      </w:r>
    </w:p>
    <w:p>
      <w:pPr>
        <w:pStyle w:val="0"/>
        <w:jc w:val="center"/>
      </w:pPr>
      <w:r>
        <w:rPr>
          <w:sz w:val="20"/>
        </w:rPr>
        <w:t xml:space="preserve">по которым проведена оценка регулирующего воздействия</w:t>
      </w:r>
    </w:p>
    <w:p>
      <w:pPr>
        <w:pStyle w:val="0"/>
        <w:jc w:val="center"/>
      </w:pPr>
      <w:r>
        <w:rPr>
          <w:sz w:val="20"/>
        </w:rPr>
        <w:t xml:space="preserve">в ____ году</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020"/>
        <w:gridCol w:w="1077"/>
        <w:gridCol w:w="1531"/>
        <w:gridCol w:w="1757"/>
        <w:gridCol w:w="1587"/>
        <w:gridCol w:w="1191"/>
        <w:gridCol w:w="1644"/>
        <w:gridCol w:w="1531"/>
        <w:gridCol w:w="1644"/>
        <w:gridCol w:w="1644"/>
        <w:gridCol w:w="1701"/>
      </w:tblGrid>
      <w:tr>
        <w:tc>
          <w:tcPr>
            <w:tcW w:w="510" w:type="dxa"/>
            <w:vAlign w:val="center"/>
          </w:tcPr>
          <w:p>
            <w:pPr>
              <w:pStyle w:val="0"/>
              <w:jc w:val="center"/>
            </w:pPr>
            <w:r>
              <w:rPr>
                <w:sz w:val="20"/>
              </w:rPr>
              <w:t xml:space="preserve">N</w:t>
            </w:r>
          </w:p>
        </w:tc>
        <w:tc>
          <w:tcPr>
            <w:tcW w:w="1020" w:type="dxa"/>
            <w:vAlign w:val="center"/>
          </w:tcPr>
          <w:p>
            <w:pPr>
              <w:pStyle w:val="0"/>
              <w:jc w:val="center"/>
            </w:pPr>
            <w:r>
              <w:rPr>
                <w:sz w:val="20"/>
              </w:rPr>
              <w:t xml:space="preserve">Наименование НПА</w:t>
            </w:r>
          </w:p>
        </w:tc>
        <w:tc>
          <w:tcPr>
            <w:tcW w:w="1077" w:type="dxa"/>
            <w:vAlign w:val="center"/>
          </w:tcPr>
          <w:p>
            <w:pPr>
              <w:pStyle w:val="0"/>
              <w:jc w:val="center"/>
            </w:pPr>
            <w:r>
              <w:rPr>
                <w:sz w:val="20"/>
              </w:rPr>
              <w:t xml:space="preserve">Орган, направивший НПА</w:t>
            </w:r>
          </w:p>
        </w:tc>
        <w:tc>
          <w:tcPr>
            <w:tcW w:w="1531" w:type="dxa"/>
            <w:vAlign w:val="center"/>
          </w:tcPr>
          <w:p>
            <w:pPr>
              <w:pStyle w:val="0"/>
              <w:jc w:val="center"/>
            </w:pPr>
            <w:r>
              <w:rPr>
                <w:sz w:val="20"/>
              </w:rPr>
              <w:t xml:space="preserve">Данные о ходе процедур (основная ОРВ/предварительная ОРВ/ОФВ/экспертиза)</w:t>
            </w:r>
          </w:p>
        </w:tc>
        <w:tc>
          <w:tcPr>
            <w:tcW w:w="1757" w:type="dxa"/>
            <w:vAlign w:val="center"/>
          </w:tcPr>
          <w:p>
            <w:pPr>
              <w:pStyle w:val="0"/>
              <w:jc w:val="center"/>
            </w:pPr>
            <w:r>
              <w:rPr>
                <w:sz w:val="20"/>
              </w:rPr>
              <w:t xml:space="preserve">Уведомление о публичных консультациях (дата поступления/дата размещения на сайте)</w:t>
            </w:r>
          </w:p>
        </w:tc>
        <w:tc>
          <w:tcPr>
            <w:tcW w:w="1587" w:type="dxa"/>
            <w:vAlign w:val="center"/>
          </w:tcPr>
          <w:p>
            <w:pPr>
              <w:pStyle w:val="0"/>
              <w:jc w:val="center"/>
            </w:pPr>
            <w:r>
              <w:rPr>
                <w:sz w:val="20"/>
              </w:rPr>
              <w:t xml:space="preserve">Информация о направлении на доработку документов (дата возврата/дата поступления новой версии)</w:t>
            </w:r>
          </w:p>
        </w:tc>
        <w:tc>
          <w:tcPr>
            <w:tcW w:w="1191" w:type="dxa"/>
            <w:vAlign w:val="center"/>
          </w:tcPr>
          <w:p>
            <w:pPr>
              <w:pStyle w:val="0"/>
              <w:jc w:val="center"/>
            </w:pPr>
            <w:r>
              <w:rPr>
                <w:sz w:val="20"/>
              </w:rPr>
              <w:t xml:space="preserve">Степень регулирующего воздействия (низкая, средняя, высокая)</w:t>
            </w:r>
          </w:p>
        </w:tc>
        <w:tc>
          <w:tcPr>
            <w:tcW w:w="1644" w:type="dxa"/>
            <w:vAlign w:val="center"/>
          </w:tcPr>
          <w:p>
            <w:pPr>
              <w:pStyle w:val="0"/>
              <w:jc w:val="center"/>
            </w:pPr>
            <w:r>
              <w:rPr>
                <w:sz w:val="20"/>
              </w:rPr>
              <w:t xml:space="preserve">Срок публичных консультаций (дата начала/дата окончания)</w:t>
            </w:r>
          </w:p>
        </w:tc>
        <w:tc>
          <w:tcPr>
            <w:tcW w:w="1531" w:type="dxa"/>
            <w:vAlign w:val="center"/>
          </w:tcPr>
          <w:p>
            <w:pPr>
              <w:pStyle w:val="0"/>
              <w:jc w:val="center"/>
            </w:pPr>
            <w:r>
              <w:rPr>
                <w:sz w:val="20"/>
              </w:rPr>
              <w:t xml:space="preserve">Заключение (дата поступления/дата размещения на сайте)</w:t>
            </w:r>
          </w:p>
        </w:tc>
        <w:tc>
          <w:tcPr>
            <w:tcW w:w="1644" w:type="dxa"/>
            <w:vAlign w:val="center"/>
          </w:tcPr>
          <w:p>
            <w:pPr>
              <w:pStyle w:val="0"/>
              <w:jc w:val="center"/>
            </w:pPr>
            <w:r>
              <w:rPr>
                <w:sz w:val="20"/>
              </w:rPr>
              <w:t xml:space="preserve">Сводка предложений (дата поступления/дата размещения на сайте)</w:t>
            </w:r>
          </w:p>
        </w:tc>
        <w:tc>
          <w:tcPr>
            <w:tcW w:w="1644" w:type="dxa"/>
            <w:vAlign w:val="center"/>
          </w:tcPr>
          <w:p>
            <w:pPr>
              <w:pStyle w:val="0"/>
              <w:jc w:val="center"/>
            </w:pPr>
            <w:r>
              <w:rPr>
                <w:sz w:val="20"/>
              </w:rPr>
              <w:t xml:space="preserve">Информация о направлении на доработку заключения (дата возврата/дата поступления новой версии)</w:t>
            </w:r>
          </w:p>
        </w:tc>
        <w:tc>
          <w:tcPr>
            <w:tcW w:w="1701" w:type="dxa"/>
            <w:vAlign w:val="center"/>
          </w:tcPr>
          <w:p>
            <w:pPr>
              <w:pStyle w:val="0"/>
              <w:jc w:val="center"/>
            </w:pPr>
            <w:r>
              <w:rPr>
                <w:sz w:val="20"/>
              </w:rPr>
              <w:t xml:space="preserve">Организации, направившие предложения в рамках ПК</w:t>
            </w:r>
          </w:p>
        </w:tc>
      </w:tr>
      <w:tr>
        <w:tc>
          <w:tcPr>
            <w:tcW w:w="510" w:type="dxa"/>
          </w:tcPr>
          <w:p>
            <w:pPr>
              <w:pStyle w:val="0"/>
              <w:jc w:val="center"/>
            </w:pPr>
            <w:r>
              <w:rPr>
                <w:sz w:val="20"/>
              </w:rPr>
              <w:t xml:space="preserve">1</w:t>
            </w:r>
          </w:p>
        </w:tc>
        <w:tc>
          <w:tcPr>
            <w:tcW w:w="1020" w:type="dxa"/>
          </w:tcPr>
          <w:p>
            <w:pPr>
              <w:pStyle w:val="0"/>
            </w:pPr>
            <w:r>
              <w:rPr>
                <w:sz w:val="20"/>
              </w:rPr>
            </w:r>
          </w:p>
        </w:tc>
        <w:tc>
          <w:tcPr>
            <w:tcW w:w="1077" w:type="dxa"/>
          </w:tcPr>
          <w:p>
            <w:pPr>
              <w:pStyle w:val="0"/>
            </w:pPr>
            <w:r>
              <w:rPr>
                <w:sz w:val="20"/>
              </w:rPr>
            </w:r>
          </w:p>
        </w:tc>
        <w:tc>
          <w:tcPr>
            <w:tcW w:w="1531" w:type="dxa"/>
          </w:tcPr>
          <w:p>
            <w:pPr>
              <w:pStyle w:val="0"/>
            </w:pPr>
            <w:r>
              <w:rPr>
                <w:sz w:val="20"/>
              </w:rPr>
            </w:r>
          </w:p>
        </w:tc>
        <w:tc>
          <w:tcPr>
            <w:tcW w:w="1757" w:type="dxa"/>
          </w:tcPr>
          <w:p>
            <w:pPr>
              <w:pStyle w:val="0"/>
            </w:pPr>
            <w:r>
              <w:rPr>
                <w:sz w:val="20"/>
              </w:rPr>
            </w:r>
          </w:p>
        </w:tc>
        <w:tc>
          <w:tcPr>
            <w:tcW w:w="1587" w:type="dxa"/>
          </w:tcPr>
          <w:p>
            <w:pPr>
              <w:pStyle w:val="0"/>
            </w:pPr>
            <w:r>
              <w:rPr>
                <w:sz w:val="20"/>
              </w:rPr>
            </w:r>
          </w:p>
        </w:tc>
        <w:tc>
          <w:tcPr>
            <w:tcW w:w="1191" w:type="dxa"/>
          </w:tcPr>
          <w:p>
            <w:pPr>
              <w:pStyle w:val="0"/>
            </w:pPr>
            <w:r>
              <w:rPr>
                <w:sz w:val="20"/>
              </w:rPr>
            </w:r>
          </w:p>
        </w:tc>
        <w:tc>
          <w:tcPr>
            <w:tcW w:w="1644"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1644" w:type="dxa"/>
          </w:tcPr>
          <w:p>
            <w:pPr>
              <w:pStyle w:val="0"/>
            </w:pPr>
            <w:r>
              <w:rPr>
                <w:sz w:val="20"/>
              </w:rPr>
            </w:r>
          </w:p>
        </w:tc>
        <w:tc>
          <w:tcPr>
            <w:tcW w:w="1701" w:type="dxa"/>
          </w:tcPr>
          <w:p>
            <w:pPr>
              <w:pStyle w:val="0"/>
            </w:pPr>
            <w:r>
              <w:rPr>
                <w:sz w:val="20"/>
              </w:rPr>
            </w:r>
          </w:p>
        </w:tc>
      </w:tr>
      <w:tr>
        <w:tc>
          <w:tcPr>
            <w:tcW w:w="510" w:type="dxa"/>
          </w:tcPr>
          <w:p>
            <w:pPr>
              <w:pStyle w:val="0"/>
              <w:jc w:val="center"/>
            </w:pPr>
            <w:r>
              <w:rPr>
                <w:sz w:val="20"/>
              </w:rPr>
              <w:t xml:space="preserve">2</w:t>
            </w:r>
          </w:p>
        </w:tc>
        <w:tc>
          <w:tcPr>
            <w:tcW w:w="1020" w:type="dxa"/>
          </w:tcPr>
          <w:p>
            <w:pPr>
              <w:pStyle w:val="0"/>
            </w:pPr>
            <w:r>
              <w:rPr>
                <w:sz w:val="20"/>
              </w:rPr>
            </w:r>
          </w:p>
        </w:tc>
        <w:tc>
          <w:tcPr>
            <w:tcW w:w="1077" w:type="dxa"/>
          </w:tcPr>
          <w:p>
            <w:pPr>
              <w:pStyle w:val="0"/>
            </w:pPr>
            <w:r>
              <w:rPr>
                <w:sz w:val="20"/>
              </w:rPr>
            </w:r>
          </w:p>
        </w:tc>
        <w:tc>
          <w:tcPr>
            <w:tcW w:w="1531" w:type="dxa"/>
          </w:tcPr>
          <w:p>
            <w:pPr>
              <w:pStyle w:val="0"/>
            </w:pPr>
            <w:r>
              <w:rPr>
                <w:sz w:val="20"/>
              </w:rPr>
            </w:r>
          </w:p>
        </w:tc>
        <w:tc>
          <w:tcPr>
            <w:tcW w:w="1757" w:type="dxa"/>
          </w:tcPr>
          <w:p>
            <w:pPr>
              <w:pStyle w:val="0"/>
            </w:pPr>
            <w:r>
              <w:rPr>
                <w:sz w:val="20"/>
              </w:rPr>
            </w:r>
          </w:p>
        </w:tc>
        <w:tc>
          <w:tcPr>
            <w:tcW w:w="1587" w:type="dxa"/>
          </w:tcPr>
          <w:p>
            <w:pPr>
              <w:pStyle w:val="0"/>
            </w:pPr>
            <w:r>
              <w:rPr>
                <w:sz w:val="20"/>
              </w:rPr>
            </w:r>
          </w:p>
        </w:tc>
        <w:tc>
          <w:tcPr>
            <w:tcW w:w="1191" w:type="dxa"/>
          </w:tcPr>
          <w:p>
            <w:pPr>
              <w:pStyle w:val="0"/>
            </w:pPr>
            <w:r>
              <w:rPr>
                <w:sz w:val="20"/>
              </w:rPr>
            </w:r>
          </w:p>
        </w:tc>
        <w:tc>
          <w:tcPr>
            <w:tcW w:w="1644"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1644" w:type="dxa"/>
          </w:tcPr>
          <w:p>
            <w:pPr>
              <w:pStyle w:val="0"/>
            </w:pPr>
            <w:r>
              <w:rPr>
                <w:sz w:val="20"/>
              </w:rPr>
            </w:r>
          </w:p>
        </w:tc>
        <w:tc>
          <w:tcPr>
            <w:tcW w:w="1701"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5</w:t>
      </w:r>
    </w:p>
    <w:p>
      <w:pPr>
        <w:pStyle w:val="0"/>
        <w:jc w:val="right"/>
      </w:pPr>
      <w:r>
        <w:rPr>
          <w:sz w:val="20"/>
        </w:rPr>
        <w:t xml:space="preserve">к Приказу</w:t>
      </w:r>
    </w:p>
    <w:p>
      <w:pPr>
        <w:pStyle w:val="0"/>
        <w:jc w:val="right"/>
      </w:pPr>
      <w:r>
        <w:rPr>
          <w:sz w:val="20"/>
        </w:rPr>
        <w:t xml:space="preserve">Министерства экономики</w:t>
      </w:r>
    </w:p>
    <w:p>
      <w:pPr>
        <w:pStyle w:val="0"/>
        <w:jc w:val="right"/>
      </w:pPr>
      <w:r>
        <w:rPr>
          <w:sz w:val="20"/>
        </w:rPr>
        <w:t xml:space="preserve">и 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76"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Приказом</w:t>
              </w:r>
            </w:hyperlink>
            <w:r>
              <w:rPr>
                <w:sz w:val="20"/>
                <w:color w:val="392c69"/>
              </w:rPr>
              <w:t xml:space="preserve"> Минэкономики и терразвития СО от 06.09.2022 N 90)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jc w:val="both"/>
      </w:pPr>
      <w:r>
        <w:rPr>
          <w:sz w:val="20"/>
        </w:rPr>
        <w:t xml:space="preserve">Форма</w:t>
      </w:r>
    </w:p>
    <w:p>
      <w:pPr>
        <w:pStyle w:val="0"/>
        <w:jc w:val="both"/>
      </w:pPr>
      <w:r>
        <w:rPr>
          <w:sz w:val="20"/>
        </w:rPr>
      </w:r>
    </w:p>
    <w:bookmarkStart w:id="967" w:name="P967"/>
    <w:bookmarkEnd w:id="967"/>
    <w:p>
      <w:pPr>
        <w:pStyle w:val="0"/>
        <w:jc w:val="center"/>
      </w:pPr>
      <w:r>
        <w:rPr>
          <w:sz w:val="20"/>
        </w:rPr>
        <w:t xml:space="preserve">РЕЕСТР</w:t>
      </w:r>
    </w:p>
    <w:p>
      <w:pPr>
        <w:pStyle w:val="0"/>
        <w:jc w:val="center"/>
      </w:pPr>
      <w:r>
        <w:rPr>
          <w:sz w:val="20"/>
        </w:rPr>
        <w:t xml:space="preserve">нормативных правовых актов Свердловской области,</w:t>
      </w:r>
    </w:p>
    <w:p>
      <w:pPr>
        <w:pStyle w:val="0"/>
        <w:jc w:val="center"/>
      </w:pPr>
      <w:r>
        <w:rPr>
          <w:sz w:val="20"/>
        </w:rPr>
        <w:t xml:space="preserve">по которым проведена экспертиза в ____ году</w:t>
      </w:r>
    </w:p>
    <w:p>
      <w:pPr>
        <w:pStyle w:val="0"/>
        <w:jc w:val="both"/>
      </w:pPr>
      <w:r>
        <w:rPr>
          <w:sz w:val="20"/>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020"/>
        <w:gridCol w:w="1020"/>
        <w:gridCol w:w="1531"/>
        <w:gridCol w:w="1757"/>
        <w:gridCol w:w="1587"/>
        <w:gridCol w:w="1191"/>
        <w:gridCol w:w="1644"/>
        <w:gridCol w:w="1531"/>
        <w:gridCol w:w="1644"/>
        <w:gridCol w:w="1644"/>
        <w:gridCol w:w="1701"/>
      </w:tblGrid>
      <w:tr>
        <w:tc>
          <w:tcPr>
            <w:tcW w:w="510" w:type="dxa"/>
            <w:vAlign w:val="center"/>
          </w:tcPr>
          <w:p>
            <w:pPr>
              <w:pStyle w:val="0"/>
              <w:jc w:val="center"/>
            </w:pPr>
            <w:r>
              <w:rPr>
                <w:sz w:val="20"/>
              </w:rPr>
              <w:t xml:space="preserve">N</w:t>
            </w:r>
          </w:p>
        </w:tc>
        <w:tc>
          <w:tcPr>
            <w:tcW w:w="1020" w:type="dxa"/>
            <w:vAlign w:val="center"/>
          </w:tcPr>
          <w:p>
            <w:pPr>
              <w:pStyle w:val="0"/>
              <w:jc w:val="center"/>
            </w:pPr>
            <w:r>
              <w:rPr>
                <w:sz w:val="20"/>
              </w:rPr>
              <w:t xml:space="preserve">Наименование НПА</w:t>
            </w:r>
          </w:p>
        </w:tc>
        <w:tc>
          <w:tcPr>
            <w:tcW w:w="1020" w:type="dxa"/>
            <w:vAlign w:val="center"/>
          </w:tcPr>
          <w:p>
            <w:pPr>
              <w:pStyle w:val="0"/>
              <w:jc w:val="center"/>
            </w:pPr>
            <w:r>
              <w:rPr>
                <w:sz w:val="20"/>
              </w:rPr>
              <w:t xml:space="preserve">Орган, направивший НПА</w:t>
            </w:r>
          </w:p>
        </w:tc>
        <w:tc>
          <w:tcPr>
            <w:tcW w:w="1531" w:type="dxa"/>
            <w:vAlign w:val="center"/>
          </w:tcPr>
          <w:p>
            <w:pPr>
              <w:pStyle w:val="0"/>
              <w:jc w:val="center"/>
            </w:pPr>
            <w:r>
              <w:rPr>
                <w:sz w:val="20"/>
              </w:rPr>
              <w:t xml:space="preserve">Данные о ходе процедур (основная ОРВ/предварительная ОРВ/ОФВ/экспертиза)</w:t>
            </w:r>
          </w:p>
        </w:tc>
        <w:tc>
          <w:tcPr>
            <w:tcW w:w="1757" w:type="dxa"/>
            <w:vAlign w:val="center"/>
          </w:tcPr>
          <w:p>
            <w:pPr>
              <w:pStyle w:val="0"/>
              <w:jc w:val="center"/>
            </w:pPr>
            <w:r>
              <w:rPr>
                <w:sz w:val="20"/>
              </w:rPr>
              <w:t xml:space="preserve">Уведомление о публичных консультациях (дата поступления/дата размещения на сайте)</w:t>
            </w:r>
          </w:p>
        </w:tc>
        <w:tc>
          <w:tcPr>
            <w:tcW w:w="1587" w:type="dxa"/>
            <w:vAlign w:val="center"/>
          </w:tcPr>
          <w:p>
            <w:pPr>
              <w:pStyle w:val="0"/>
              <w:jc w:val="center"/>
            </w:pPr>
            <w:r>
              <w:rPr>
                <w:sz w:val="20"/>
              </w:rPr>
              <w:t xml:space="preserve">Информация о направлении на доработку документов (дата возврата/дата поступления новой версии)</w:t>
            </w:r>
          </w:p>
        </w:tc>
        <w:tc>
          <w:tcPr>
            <w:tcW w:w="1191" w:type="dxa"/>
            <w:vAlign w:val="center"/>
          </w:tcPr>
          <w:p>
            <w:pPr>
              <w:pStyle w:val="0"/>
              <w:jc w:val="center"/>
            </w:pPr>
            <w:r>
              <w:rPr>
                <w:sz w:val="20"/>
              </w:rPr>
              <w:t xml:space="preserve">Степень регулирующего воздействия (низкая, средняя, высокая)</w:t>
            </w:r>
          </w:p>
        </w:tc>
        <w:tc>
          <w:tcPr>
            <w:tcW w:w="1644" w:type="dxa"/>
            <w:vAlign w:val="center"/>
          </w:tcPr>
          <w:p>
            <w:pPr>
              <w:pStyle w:val="0"/>
              <w:jc w:val="center"/>
            </w:pPr>
            <w:r>
              <w:rPr>
                <w:sz w:val="20"/>
              </w:rPr>
              <w:t xml:space="preserve">Срок публичных консультаций (дата начала/дата окончания)</w:t>
            </w:r>
          </w:p>
        </w:tc>
        <w:tc>
          <w:tcPr>
            <w:tcW w:w="1531" w:type="dxa"/>
            <w:vAlign w:val="center"/>
          </w:tcPr>
          <w:p>
            <w:pPr>
              <w:pStyle w:val="0"/>
              <w:jc w:val="center"/>
            </w:pPr>
            <w:r>
              <w:rPr>
                <w:sz w:val="20"/>
              </w:rPr>
              <w:t xml:space="preserve">Заключение (дата поступления/дата размещения на сайте)</w:t>
            </w:r>
          </w:p>
        </w:tc>
        <w:tc>
          <w:tcPr>
            <w:tcW w:w="1644" w:type="dxa"/>
            <w:vAlign w:val="center"/>
          </w:tcPr>
          <w:p>
            <w:pPr>
              <w:pStyle w:val="0"/>
              <w:jc w:val="center"/>
            </w:pPr>
            <w:r>
              <w:rPr>
                <w:sz w:val="20"/>
              </w:rPr>
              <w:t xml:space="preserve">Сводка предложений (дата поступления/дата размещения на сайте)</w:t>
            </w:r>
          </w:p>
        </w:tc>
        <w:tc>
          <w:tcPr>
            <w:tcW w:w="1644" w:type="dxa"/>
            <w:vAlign w:val="center"/>
          </w:tcPr>
          <w:p>
            <w:pPr>
              <w:pStyle w:val="0"/>
              <w:jc w:val="center"/>
            </w:pPr>
            <w:r>
              <w:rPr>
                <w:sz w:val="20"/>
              </w:rPr>
              <w:t xml:space="preserve">Информация о направлении на доработку заключения (дата возврата/дата поступления новой версии)</w:t>
            </w:r>
          </w:p>
        </w:tc>
        <w:tc>
          <w:tcPr>
            <w:tcW w:w="1701" w:type="dxa"/>
            <w:vAlign w:val="center"/>
          </w:tcPr>
          <w:p>
            <w:pPr>
              <w:pStyle w:val="0"/>
              <w:jc w:val="center"/>
            </w:pPr>
            <w:r>
              <w:rPr>
                <w:sz w:val="20"/>
              </w:rPr>
              <w:t xml:space="preserve">Организации, направившие предложения в рамках ПК</w:t>
            </w:r>
          </w:p>
        </w:tc>
      </w:tr>
      <w:tr>
        <w:tc>
          <w:tcPr>
            <w:tcW w:w="510" w:type="dxa"/>
          </w:tcPr>
          <w:p>
            <w:pPr>
              <w:pStyle w:val="0"/>
              <w:jc w:val="center"/>
            </w:pPr>
            <w:r>
              <w:rPr>
                <w:sz w:val="20"/>
              </w:rPr>
              <w:t xml:space="preserve">1</w:t>
            </w:r>
          </w:p>
        </w:tc>
        <w:tc>
          <w:tcPr>
            <w:tcW w:w="1020" w:type="dxa"/>
          </w:tcPr>
          <w:p>
            <w:pPr>
              <w:pStyle w:val="0"/>
            </w:pPr>
            <w:r>
              <w:rPr>
                <w:sz w:val="20"/>
              </w:rPr>
            </w:r>
          </w:p>
        </w:tc>
        <w:tc>
          <w:tcPr>
            <w:tcW w:w="1020" w:type="dxa"/>
          </w:tcPr>
          <w:p>
            <w:pPr>
              <w:pStyle w:val="0"/>
            </w:pPr>
            <w:r>
              <w:rPr>
                <w:sz w:val="20"/>
              </w:rPr>
            </w:r>
          </w:p>
        </w:tc>
        <w:tc>
          <w:tcPr>
            <w:tcW w:w="1531" w:type="dxa"/>
          </w:tcPr>
          <w:p>
            <w:pPr>
              <w:pStyle w:val="0"/>
            </w:pPr>
            <w:r>
              <w:rPr>
                <w:sz w:val="20"/>
              </w:rPr>
            </w:r>
          </w:p>
        </w:tc>
        <w:tc>
          <w:tcPr>
            <w:tcW w:w="1757" w:type="dxa"/>
          </w:tcPr>
          <w:p>
            <w:pPr>
              <w:pStyle w:val="0"/>
            </w:pPr>
            <w:r>
              <w:rPr>
                <w:sz w:val="20"/>
              </w:rPr>
            </w:r>
          </w:p>
        </w:tc>
        <w:tc>
          <w:tcPr>
            <w:tcW w:w="1587" w:type="dxa"/>
          </w:tcPr>
          <w:p>
            <w:pPr>
              <w:pStyle w:val="0"/>
            </w:pPr>
            <w:r>
              <w:rPr>
                <w:sz w:val="20"/>
              </w:rPr>
            </w:r>
          </w:p>
        </w:tc>
        <w:tc>
          <w:tcPr>
            <w:tcW w:w="1191" w:type="dxa"/>
          </w:tcPr>
          <w:p>
            <w:pPr>
              <w:pStyle w:val="0"/>
            </w:pPr>
            <w:r>
              <w:rPr>
                <w:sz w:val="20"/>
              </w:rPr>
            </w:r>
          </w:p>
        </w:tc>
        <w:tc>
          <w:tcPr>
            <w:tcW w:w="1644"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1644" w:type="dxa"/>
          </w:tcPr>
          <w:p>
            <w:pPr>
              <w:pStyle w:val="0"/>
            </w:pPr>
            <w:r>
              <w:rPr>
                <w:sz w:val="20"/>
              </w:rPr>
            </w:r>
          </w:p>
        </w:tc>
        <w:tc>
          <w:tcPr>
            <w:tcW w:w="1701" w:type="dxa"/>
          </w:tcPr>
          <w:p>
            <w:pPr>
              <w:pStyle w:val="0"/>
            </w:pPr>
            <w:r>
              <w:rPr>
                <w:sz w:val="20"/>
              </w:rPr>
            </w:r>
          </w:p>
        </w:tc>
      </w:tr>
      <w:tr>
        <w:tc>
          <w:tcPr>
            <w:tcW w:w="510" w:type="dxa"/>
          </w:tcPr>
          <w:p>
            <w:pPr>
              <w:pStyle w:val="0"/>
              <w:jc w:val="center"/>
            </w:pPr>
            <w:r>
              <w:rPr>
                <w:sz w:val="20"/>
              </w:rPr>
              <w:t xml:space="preserve">2</w:t>
            </w:r>
          </w:p>
        </w:tc>
        <w:tc>
          <w:tcPr>
            <w:tcW w:w="1020" w:type="dxa"/>
          </w:tcPr>
          <w:p>
            <w:pPr>
              <w:pStyle w:val="0"/>
            </w:pPr>
            <w:r>
              <w:rPr>
                <w:sz w:val="20"/>
              </w:rPr>
            </w:r>
          </w:p>
        </w:tc>
        <w:tc>
          <w:tcPr>
            <w:tcW w:w="1020" w:type="dxa"/>
          </w:tcPr>
          <w:p>
            <w:pPr>
              <w:pStyle w:val="0"/>
            </w:pPr>
            <w:r>
              <w:rPr>
                <w:sz w:val="20"/>
              </w:rPr>
            </w:r>
          </w:p>
        </w:tc>
        <w:tc>
          <w:tcPr>
            <w:tcW w:w="1531" w:type="dxa"/>
          </w:tcPr>
          <w:p>
            <w:pPr>
              <w:pStyle w:val="0"/>
            </w:pPr>
            <w:r>
              <w:rPr>
                <w:sz w:val="20"/>
              </w:rPr>
            </w:r>
          </w:p>
        </w:tc>
        <w:tc>
          <w:tcPr>
            <w:tcW w:w="1757" w:type="dxa"/>
          </w:tcPr>
          <w:p>
            <w:pPr>
              <w:pStyle w:val="0"/>
            </w:pPr>
            <w:r>
              <w:rPr>
                <w:sz w:val="20"/>
              </w:rPr>
            </w:r>
          </w:p>
        </w:tc>
        <w:tc>
          <w:tcPr>
            <w:tcW w:w="1587" w:type="dxa"/>
          </w:tcPr>
          <w:p>
            <w:pPr>
              <w:pStyle w:val="0"/>
            </w:pPr>
            <w:r>
              <w:rPr>
                <w:sz w:val="20"/>
              </w:rPr>
            </w:r>
          </w:p>
        </w:tc>
        <w:tc>
          <w:tcPr>
            <w:tcW w:w="1191" w:type="dxa"/>
          </w:tcPr>
          <w:p>
            <w:pPr>
              <w:pStyle w:val="0"/>
            </w:pPr>
            <w:r>
              <w:rPr>
                <w:sz w:val="20"/>
              </w:rPr>
            </w:r>
          </w:p>
        </w:tc>
        <w:tc>
          <w:tcPr>
            <w:tcW w:w="1644" w:type="dxa"/>
          </w:tcPr>
          <w:p>
            <w:pPr>
              <w:pStyle w:val="0"/>
            </w:pPr>
            <w:r>
              <w:rPr>
                <w:sz w:val="20"/>
              </w:rPr>
            </w:r>
          </w:p>
        </w:tc>
        <w:tc>
          <w:tcPr>
            <w:tcW w:w="1531" w:type="dxa"/>
          </w:tcPr>
          <w:p>
            <w:pPr>
              <w:pStyle w:val="0"/>
            </w:pPr>
            <w:r>
              <w:rPr>
                <w:sz w:val="20"/>
              </w:rPr>
            </w:r>
          </w:p>
        </w:tc>
        <w:tc>
          <w:tcPr>
            <w:tcW w:w="1644" w:type="dxa"/>
          </w:tcPr>
          <w:p>
            <w:pPr>
              <w:pStyle w:val="0"/>
            </w:pPr>
            <w:r>
              <w:rPr>
                <w:sz w:val="20"/>
              </w:rPr>
            </w:r>
          </w:p>
        </w:tc>
        <w:tc>
          <w:tcPr>
            <w:tcW w:w="1644" w:type="dxa"/>
          </w:tcPr>
          <w:p>
            <w:pPr>
              <w:pStyle w:val="0"/>
            </w:pPr>
            <w:r>
              <w:rPr>
                <w:sz w:val="20"/>
              </w:rPr>
            </w:r>
          </w:p>
        </w:tc>
        <w:tc>
          <w:tcPr>
            <w:tcW w:w="1701" w:type="dxa"/>
          </w:tcPr>
          <w:p>
            <w:pPr>
              <w:pStyle w:val="0"/>
            </w:pPr>
            <w:r>
              <w:rPr>
                <w:sz w:val="20"/>
              </w:rPr>
            </w:r>
          </w:p>
        </w:tc>
      </w:tr>
    </w:tbl>
    <w:p>
      <w:pPr>
        <w:sectPr>
          <w:headerReference w:type="default" r:id="rId74"/>
          <w:headerReference w:type="first" r:id="rId74"/>
          <w:footerReference w:type="default" r:id="rId75"/>
          <w:footerReference w:type="first" r:id="rId75"/>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Приказом</w:t>
      </w:r>
    </w:p>
    <w:p>
      <w:pPr>
        <w:pStyle w:val="0"/>
        <w:jc w:val="right"/>
      </w:pPr>
      <w:r>
        <w:rPr>
          <w:sz w:val="20"/>
        </w:rPr>
        <w:t xml:space="preserve">Министерства экономики и</w:t>
      </w:r>
    </w:p>
    <w:p>
      <w:pPr>
        <w:pStyle w:val="0"/>
        <w:jc w:val="right"/>
      </w:pPr>
      <w:r>
        <w:rPr>
          <w:sz w:val="20"/>
        </w:rPr>
        <w:t xml:space="preserve">территориального развития</w:t>
      </w:r>
    </w:p>
    <w:p>
      <w:pPr>
        <w:pStyle w:val="0"/>
        <w:jc w:val="right"/>
      </w:pPr>
      <w:r>
        <w:rPr>
          <w:sz w:val="20"/>
        </w:rPr>
        <w:t xml:space="preserve">Свердловской области</w:t>
      </w:r>
    </w:p>
    <w:p>
      <w:pPr>
        <w:pStyle w:val="0"/>
        <w:jc w:val="right"/>
      </w:pPr>
      <w:r>
        <w:rPr>
          <w:sz w:val="20"/>
        </w:rPr>
        <w:t xml:space="preserve">от 29 марта 2018 г. N 17</w:t>
      </w:r>
    </w:p>
    <w:p>
      <w:pPr>
        <w:pStyle w:val="0"/>
        <w:jc w:val="right"/>
      </w:pPr>
      <w:r>
        <w:rPr>
          <w:sz w:val="20"/>
        </w:rPr>
        <w:t xml:space="preserve">"Об утверждении</w:t>
      </w:r>
    </w:p>
    <w:p>
      <w:pPr>
        <w:pStyle w:val="0"/>
        <w:jc w:val="right"/>
      </w:pPr>
      <w:r>
        <w:rPr>
          <w:sz w:val="20"/>
        </w:rPr>
        <w:t xml:space="preserve">методических рекомендаций</w:t>
      </w:r>
    </w:p>
    <w:p>
      <w:pPr>
        <w:pStyle w:val="0"/>
        <w:jc w:val="right"/>
      </w:pPr>
      <w:r>
        <w:rPr>
          <w:sz w:val="20"/>
        </w:rPr>
        <w:t xml:space="preserve">по составлению уведомления о проведении</w:t>
      </w:r>
    </w:p>
    <w:p>
      <w:pPr>
        <w:pStyle w:val="0"/>
        <w:jc w:val="right"/>
      </w:pPr>
      <w:r>
        <w:rPr>
          <w:sz w:val="20"/>
        </w:rPr>
        <w:t xml:space="preserve">публичных консультаций и заключения</w:t>
      </w:r>
    </w:p>
    <w:p>
      <w:pPr>
        <w:pStyle w:val="0"/>
        <w:jc w:val="right"/>
      </w:pPr>
      <w:r>
        <w:rPr>
          <w:sz w:val="20"/>
        </w:rPr>
        <w:t xml:space="preserve">об оценке регулирующего воздействия,</w:t>
      </w:r>
    </w:p>
    <w:p>
      <w:pPr>
        <w:pStyle w:val="0"/>
        <w:jc w:val="right"/>
      </w:pPr>
      <w:r>
        <w:rPr>
          <w:sz w:val="20"/>
        </w:rPr>
        <w:t xml:space="preserve">методики оценки стандартных издержек</w:t>
      </w:r>
    </w:p>
    <w:p>
      <w:pPr>
        <w:pStyle w:val="0"/>
        <w:jc w:val="right"/>
      </w:pPr>
      <w:r>
        <w:rPr>
          <w:sz w:val="20"/>
        </w:rPr>
        <w:t xml:space="preserve">субъектов предпринимательской и</w:t>
      </w:r>
    </w:p>
    <w:p>
      <w:pPr>
        <w:pStyle w:val="0"/>
        <w:jc w:val="right"/>
      </w:pPr>
      <w:r>
        <w:rPr>
          <w:sz w:val="20"/>
        </w:rPr>
        <w:t xml:space="preserve">иной экономической деятельности,</w:t>
      </w:r>
    </w:p>
    <w:p>
      <w:pPr>
        <w:pStyle w:val="0"/>
        <w:jc w:val="right"/>
      </w:pPr>
      <w:r>
        <w:rPr>
          <w:sz w:val="20"/>
        </w:rPr>
        <w:t xml:space="preserve">возникающих в связи с исполнением</w:t>
      </w:r>
    </w:p>
    <w:p>
      <w:pPr>
        <w:pStyle w:val="0"/>
        <w:jc w:val="right"/>
      </w:pPr>
      <w:r>
        <w:rPr>
          <w:sz w:val="20"/>
        </w:rPr>
        <w:t xml:space="preserve">требований регулирования,</w:t>
      </w:r>
    </w:p>
    <w:p>
      <w:pPr>
        <w:pStyle w:val="0"/>
        <w:jc w:val="right"/>
      </w:pPr>
      <w:r>
        <w:rPr>
          <w:sz w:val="20"/>
        </w:rPr>
        <w:t xml:space="preserve">а также методических рекомендаций</w:t>
      </w:r>
    </w:p>
    <w:p>
      <w:pPr>
        <w:pStyle w:val="0"/>
        <w:jc w:val="right"/>
      </w:pPr>
      <w:r>
        <w:rPr>
          <w:sz w:val="20"/>
        </w:rPr>
        <w:t xml:space="preserve">по проведению публичных консультаций"</w:t>
      </w:r>
    </w:p>
    <w:p>
      <w:pPr>
        <w:pStyle w:val="0"/>
        <w:jc w:val="both"/>
      </w:pPr>
      <w:r>
        <w:rPr>
          <w:sz w:val="20"/>
        </w:rPr>
      </w:r>
    </w:p>
    <w:bookmarkStart w:id="1031" w:name="P1031"/>
    <w:bookmarkEnd w:id="1031"/>
    <w:p>
      <w:pPr>
        <w:pStyle w:val="2"/>
        <w:jc w:val="center"/>
      </w:pPr>
      <w:r>
        <w:rPr>
          <w:sz w:val="20"/>
        </w:rPr>
        <w:t xml:space="preserve">МЕТОДИЧЕСКИЕ РЕКОМЕНДАЦИИ</w:t>
      </w:r>
    </w:p>
    <w:p>
      <w:pPr>
        <w:pStyle w:val="2"/>
        <w:jc w:val="center"/>
      </w:pPr>
      <w:r>
        <w:rPr>
          <w:sz w:val="20"/>
        </w:rPr>
        <w:t xml:space="preserve">ПО ПРОВЕДЕНИЮ ПУБЛИЧНЫХ КОНСУЛЬТАЦИЙ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Минэкономики и терразвития СО от 06.09.2022 </w:t>
            </w:r>
            <w:hyperlink w:history="0" r:id="rId77" w:tooltip="Приказ Минэкономики и терразвития СО от 06.09.2022 N 90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 {КонсультантПлюс}">
              <w:r>
                <w:rPr>
                  <w:sz w:val="20"/>
                  <w:color w:val="0000ff"/>
                </w:rPr>
                <w:t xml:space="preserve">N 90</w:t>
              </w:r>
            </w:hyperlink>
            <w:r>
              <w:rPr>
                <w:sz w:val="20"/>
                <w:color w:val="392c69"/>
              </w:rPr>
              <w:t xml:space="preserve">,</w:t>
            </w:r>
          </w:p>
          <w:p>
            <w:pPr>
              <w:pStyle w:val="0"/>
              <w:jc w:val="center"/>
            </w:pPr>
            <w:r>
              <w:rPr>
                <w:sz w:val="20"/>
                <w:color w:val="392c69"/>
              </w:rPr>
              <w:t xml:space="preserve">от 28.10.2024 </w:t>
            </w:r>
            <w:hyperlink w:history="0" r:id="rId78"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N 14-НПА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Настоящие методические рекомендации разработаны во исполнение </w:t>
      </w:r>
      <w:hyperlink w:history="0" r:id="rId79"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пункта 6 статьи 5</w:t>
        </w:r>
      </w:hyperlink>
      <w:r>
        <w:rPr>
          <w:sz w:val="20"/>
        </w:rPr>
        <w:t xml:space="preserve"> Закона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(далее - Закон Свердловской области от 14 июля 2014 года N 74-ОЗ), в соответствии с </w:t>
      </w:r>
      <w:hyperlink w:history="0" r:id="rId80"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Постановлением</w:t>
        </w:r>
      </w:hyperlink>
      <w:r>
        <w:rPr>
          <w:sz w:val="20"/>
        </w:rPr>
        <w:t xml:space="preserve"> Правительства Свердловской области от 26.11.2014 N 1051-ПП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Постановление Правительства Свердловской области от 26.11.2014 N 1051-ПП).</w:t>
      </w:r>
    </w:p>
    <w:p>
      <w:pPr>
        <w:pStyle w:val="0"/>
        <w:jc w:val="both"/>
      </w:pPr>
      <w:r>
        <w:rPr>
          <w:sz w:val="20"/>
        </w:rPr>
        <w:t xml:space="preserve">(в ред. </w:t>
      </w:r>
      <w:hyperlink w:history="0" r:id="rId81"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2. Настоящие методические рекомендации предназначены для применения исполнительными органами государственной власти Свердловской области при проведении публичных консультаций в рамках оценки регулирующего воздействия (далее - ОРВ) проектов нормативных правовых актов Свердловской области в качестве разработчика, в случае разработки проекта акта (далее - разработчик), и в качестве профильного органа, уполномоченного в соответствующей сфере деятельности, затрагиваемой новым регулированием, в случае проведения ОРВ проекта нормативного правового акта (далее - проект акта), направленного Законодательным Собранием Свердловской области, прокуратурой Свердловской области и иными субъектами законодательной инициативы (далее - профильный орган).</w:t>
      </w:r>
    </w:p>
    <w:p>
      <w:pPr>
        <w:pStyle w:val="0"/>
        <w:spacing w:before="200" w:lineRule="auto"/>
        <w:ind w:firstLine="540"/>
        <w:jc w:val="both"/>
      </w:pPr>
      <w:r>
        <w:rPr>
          <w:sz w:val="20"/>
        </w:rPr>
        <w:t xml:space="preserve">3. Целью настоящих методических рекомендаций является систематизация подходов к проведению публичных консультаций, развитие практики применения дополнительных форм обсуждений помимо обязательных публичных консультаций на официальном сайте в информационно-телекоммуникационной сети Интернет http://regulation.midural.ru/ (далее - официальный сайт), предназначенном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с целью проведения публичных консультаций, совершенствование форм взаимодействия с участниками публичных консультаций и учет результатов публичных консультаций.</w:t>
      </w:r>
    </w:p>
    <w:p>
      <w:pPr>
        <w:pStyle w:val="0"/>
        <w:spacing w:before="200" w:lineRule="auto"/>
        <w:ind w:firstLine="540"/>
        <w:jc w:val="both"/>
      </w:pPr>
      <w:r>
        <w:rPr>
          <w:sz w:val="20"/>
        </w:rPr>
        <w:t xml:space="preserve">4. Положения настоящих методических рекомендаций распространяются на организацию и проведение публичных консультаций в отношении проектов нормативных правовых актов Свердловской области, подлежащих ОРВ в соответствии с </w:t>
      </w:r>
      <w:hyperlink w:history="0" r:id="rId82" w:tooltip="Закон Свердловской области от 14.07.2014 N 74-ОЗ (ред. от 21.05.2025)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пунктом 1 статьи 3</w:t>
        </w:r>
      </w:hyperlink>
      <w:r>
        <w:rPr>
          <w:sz w:val="20"/>
        </w:rPr>
        <w:t xml:space="preserve"> Закона Свердловской области от 14 июля 2014 года N 74-ОЗ.</w:t>
      </w:r>
    </w:p>
    <w:p>
      <w:pPr>
        <w:pStyle w:val="0"/>
        <w:spacing w:before="200" w:lineRule="auto"/>
        <w:ind w:firstLine="540"/>
        <w:jc w:val="both"/>
      </w:pPr>
      <w:r>
        <w:rPr>
          <w:sz w:val="20"/>
        </w:rPr>
        <w:t xml:space="preserve">5. Задачами публичных консультаций являются:</w:t>
      </w:r>
    </w:p>
    <w:p>
      <w:pPr>
        <w:pStyle w:val="0"/>
        <w:spacing w:before="200" w:lineRule="auto"/>
        <w:ind w:firstLine="540"/>
        <w:jc w:val="both"/>
      </w:pPr>
      <w:r>
        <w:rPr>
          <w:sz w:val="20"/>
        </w:rPr>
        <w:t xml:space="preserve">1) информирование широкого круга заинтересованных лиц о разрабатываемых проектах актов, разъяснение своей позиции по отношению к проблеме, требующей принятия регуляторного решения;</w:t>
      </w:r>
    </w:p>
    <w:p>
      <w:pPr>
        <w:pStyle w:val="0"/>
        <w:spacing w:before="200" w:lineRule="auto"/>
        <w:ind w:firstLine="540"/>
        <w:jc w:val="both"/>
      </w:pPr>
      <w:r>
        <w:rPr>
          <w:sz w:val="20"/>
        </w:rPr>
        <w:t xml:space="preserve">2) консультирование с органами государственной власти Свердловской области, органами местного самоуправления муниципальных образований, расположенных на территории Свердловской области, субъектами общественного контроля, гражданами и организациями, интересы которых затрагиваются вводимым (действующим) регулированием (далее - заинтересованные лица), в целях уточнения масштаба, причин и негативных эффектов проблемы, требующей государственного вмешательства, путем принятия нормативного правового акта, поиску возможных способов и альтернатив ее решения, а также определению оптимальных способов и альтернатив (далее - регуляторное решение, предлагаемое регулирование);</w:t>
      </w:r>
    </w:p>
    <w:p>
      <w:pPr>
        <w:pStyle w:val="0"/>
        <w:spacing w:before="200" w:lineRule="auto"/>
        <w:ind w:firstLine="540"/>
        <w:jc w:val="both"/>
      </w:pPr>
      <w:r>
        <w:rPr>
          <w:sz w:val="20"/>
        </w:rPr>
        <w:t xml:space="preserve">3) соблюдение баланса интересов при принятии регуляторного решения;</w:t>
      </w:r>
    </w:p>
    <w:p>
      <w:pPr>
        <w:pStyle w:val="0"/>
        <w:spacing w:before="200" w:lineRule="auto"/>
        <w:ind w:firstLine="540"/>
        <w:jc w:val="both"/>
      </w:pPr>
      <w:r>
        <w:rPr>
          <w:sz w:val="20"/>
        </w:rPr>
        <w:t xml:space="preserve">4) сокращение возможных негативных последствий и усиление положительных последствий принятого регуляторного решения.</w:t>
      </w:r>
    </w:p>
    <w:p>
      <w:pPr>
        <w:pStyle w:val="0"/>
        <w:spacing w:before="200" w:lineRule="auto"/>
        <w:ind w:firstLine="540"/>
        <w:jc w:val="both"/>
      </w:pPr>
      <w:r>
        <w:rPr>
          <w:sz w:val="20"/>
        </w:rPr>
        <w:t xml:space="preserve">6. Основными принципами проведения публичных консультаций являются:</w:t>
      </w:r>
    </w:p>
    <w:p>
      <w:pPr>
        <w:pStyle w:val="0"/>
        <w:spacing w:before="200" w:lineRule="auto"/>
        <w:ind w:firstLine="540"/>
        <w:jc w:val="both"/>
      </w:pPr>
      <w:r>
        <w:rPr>
          <w:sz w:val="20"/>
        </w:rPr>
        <w:t xml:space="preserve">1) максимальное вовлечение в процесс публичных консультаций (обсуждений) всех заинтересованных лиц;</w:t>
      </w:r>
    </w:p>
    <w:p>
      <w:pPr>
        <w:pStyle w:val="0"/>
        <w:spacing w:before="200" w:lineRule="auto"/>
        <w:ind w:firstLine="540"/>
        <w:jc w:val="both"/>
      </w:pPr>
      <w:r>
        <w:rPr>
          <w:sz w:val="20"/>
        </w:rPr>
        <w:t xml:space="preserve">2) максимальный учет интересов заинтересованных лиц;</w:t>
      </w:r>
    </w:p>
    <w:p>
      <w:pPr>
        <w:pStyle w:val="0"/>
        <w:spacing w:before="200" w:lineRule="auto"/>
        <w:ind w:firstLine="540"/>
        <w:jc w:val="both"/>
      </w:pPr>
      <w:r>
        <w:rPr>
          <w:sz w:val="20"/>
        </w:rPr>
        <w:t xml:space="preserve">3) прозрачность и ясность процедур, подотчетность, объективность и независимость выбора участников публичных консультаций (обсуждений);</w:t>
      </w:r>
    </w:p>
    <w:p>
      <w:pPr>
        <w:pStyle w:val="0"/>
        <w:spacing w:before="200" w:lineRule="auto"/>
        <w:ind w:firstLine="540"/>
        <w:jc w:val="both"/>
      </w:pPr>
      <w:r>
        <w:rPr>
          <w:sz w:val="20"/>
        </w:rPr>
        <w:t xml:space="preserve">4) соблюдение разумных сроков проведения публичных консультаций.</w:t>
      </w:r>
    </w:p>
    <w:p>
      <w:pPr>
        <w:pStyle w:val="0"/>
        <w:spacing w:before="200" w:lineRule="auto"/>
        <w:ind w:firstLine="540"/>
        <w:jc w:val="both"/>
      </w:pPr>
      <w:r>
        <w:rPr>
          <w:sz w:val="20"/>
        </w:rPr>
        <w:t xml:space="preserve">7. В рамках ОРВ предусмотрено проведение публичных консультаций:</w:t>
      </w:r>
    </w:p>
    <w:p>
      <w:pPr>
        <w:pStyle w:val="0"/>
        <w:spacing w:before="200" w:lineRule="auto"/>
        <w:ind w:firstLine="540"/>
        <w:jc w:val="both"/>
      </w:pPr>
      <w:r>
        <w:rPr>
          <w:sz w:val="20"/>
        </w:rPr>
        <w:t xml:space="preserve">1) по вопросу о подготовке проекта акта (в рамках предварительной ОРВ);</w:t>
      </w:r>
    </w:p>
    <w:p>
      <w:pPr>
        <w:pStyle w:val="0"/>
        <w:spacing w:before="200" w:lineRule="auto"/>
        <w:ind w:firstLine="540"/>
        <w:jc w:val="both"/>
      </w:pPr>
      <w:r>
        <w:rPr>
          <w:sz w:val="20"/>
        </w:rPr>
        <w:t xml:space="preserve">2) по проекту акта.</w:t>
      </w:r>
    </w:p>
    <w:p>
      <w:pPr>
        <w:pStyle w:val="0"/>
        <w:jc w:val="both"/>
      </w:pPr>
      <w:r>
        <w:rPr>
          <w:sz w:val="20"/>
        </w:rPr>
      </w:r>
    </w:p>
    <w:p>
      <w:pPr>
        <w:pStyle w:val="2"/>
        <w:outlineLvl w:val="1"/>
        <w:jc w:val="center"/>
      </w:pPr>
      <w:r>
        <w:rPr>
          <w:sz w:val="20"/>
        </w:rPr>
        <w:t xml:space="preserve">Глава 2. РЕКОМЕНДАЦИИ ПО ПРОВЕДЕНИЮ ПУБЛИЧНЫХ КОНСУЛЬТАЦИЙ</w:t>
      </w:r>
    </w:p>
    <w:p>
      <w:pPr>
        <w:pStyle w:val="2"/>
        <w:jc w:val="center"/>
      </w:pPr>
      <w:r>
        <w:rPr>
          <w:sz w:val="20"/>
        </w:rPr>
        <w:t xml:space="preserve">ПО ВОПРОСУ О ПОДГОТОВКЕ ПРОЕКТА АКТА ПРАВИТЕЛЬСТВА</w:t>
      </w:r>
    </w:p>
    <w:p>
      <w:pPr>
        <w:pStyle w:val="2"/>
        <w:jc w:val="center"/>
      </w:pPr>
      <w:r>
        <w:rPr>
          <w:sz w:val="20"/>
        </w:rPr>
        <w:t xml:space="preserve">СВЕРДЛОВСКОЙ ОБЛАСТИ ИЛИ ИСПОЛНИТЕЛЬНОГО ОРГАНА</w:t>
      </w:r>
    </w:p>
    <w:p>
      <w:pPr>
        <w:pStyle w:val="2"/>
        <w:jc w:val="center"/>
      </w:pPr>
      <w:r>
        <w:rPr>
          <w:sz w:val="20"/>
        </w:rPr>
        <w:t xml:space="preserve">ГОСУДАРСТВЕННОЙ ВЛАСТИ СВЕРДЛОВСКОЙ ОБЛАСТИ</w:t>
      </w:r>
    </w:p>
    <w:p>
      <w:pPr>
        <w:pStyle w:val="0"/>
        <w:jc w:val="both"/>
      </w:pPr>
      <w:r>
        <w:rPr>
          <w:sz w:val="20"/>
        </w:rPr>
      </w:r>
    </w:p>
    <w:p>
      <w:pPr>
        <w:pStyle w:val="0"/>
        <w:ind w:firstLine="540"/>
        <w:jc w:val="both"/>
      </w:pPr>
      <w:r>
        <w:rPr>
          <w:sz w:val="20"/>
        </w:rPr>
        <w:t xml:space="preserve">8. Публичные консультации по вопросу о подготовке проекта акта проводятся в рамках предварительной ОРВ по проектам актов Правительства Свердловской области или исполнительного органа государственной власти Свердловской области, имеющим высокую степень регулирующего воздействия, в соответствии с </w:t>
      </w:r>
      <w:hyperlink w:history="0" r:id="rId83"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Порядком</w:t>
        </w:r>
      </w:hyperlink>
      <w:r>
        <w:rPr>
          <w:sz w:val="20"/>
        </w:rPr>
        <w:t xml:space="preserve"> проведения оценки регулирующего воздействия проектов нормативных правовых актов Свердловской области, утвержденным Постановлением Правительства Свердловской области от 26.11.2014 N 1051-ПП (далее - Порядок проведения ОРВ). По таким проектам актов ОРВ проводит профильный орган.</w:t>
      </w:r>
    </w:p>
    <w:p>
      <w:pPr>
        <w:pStyle w:val="0"/>
        <w:jc w:val="both"/>
      </w:pPr>
      <w:r>
        <w:rPr>
          <w:sz w:val="20"/>
        </w:rPr>
        <w:t xml:space="preserve">(часть первая в ред. </w:t>
      </w:r>
      <w:hyperlink w:history="0" r:id="rId84"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Для иных проектов актов Правительства Свердловской области и исполнительных органов государственной власти Свердловской области предварительная оценка регулирующего воздействия проводится по решению руководителя (заместителя руководителя) профильного органа.</w:t>
      </w:r>
    </w:p>
    <w:p>
      <w:pPr>
        <w:pStyle w:val="0"/>
        <w:spacing w:before="200" w:lineRule="auto"/>
        <w:ind w:firstLine="540"/>
        <w:jc w:val="both"/>
      </w:pPr>
      <w:r>
        <w:rPr>
          <w:sz w:val="20"/>
        </w:rPr>
        <w:t xml:space="preserve">9. Целью проведения публичных консультаций по вопросу о подготовке проекта акта является подтверждение наличия выявленной проблемы, анализ целесообразности введения государственного регулирования для ее решения, сбор предложений об альтернативных мерах для достижения целей, предполагаемых новым регулированием, а также предложений и планируемый к разработке проект акта.</w:t>
      </w:r>
    </w:p>
    <w:p>
      <w:pPr>
        <w:pStyle w:val="0"/>
        <w:spacing w:before="200" w:lineRule="auto"/>
        <w:ind w:firstLine="540"/>
        <w:jc w:val="both"/>
      </w:pPr>
      <w:r>
        <w:rPr>
          <w:sz w:val="20"/>
        </w:rPr>
        <w:t xml:space="preserve">10. Публичные консультации по вопросу о подготовке проекта акта содержат следующие этапы:</w:t>
      </w:r>
    </w:p>
    <w:p>
      <w:pPr>
        <w:pStyle w:val="0"/>
        <w:spacing w:before="200" w:lineRule="auto"/>
        <w:ind w:firstLine="540"/>
        <w:jc w:val="both"/>
      </w:pPr>
      <w:r>
        <w:rPr>
          <w:sz w:val="20"/>
        </w:rPr>
        <w:t xml:space="preserve">1) формирование перечня заинтересованных лиц;</w:t>
      </w:r>
    </w:p>
    <w:p>
      <w:pPr>
        <w:pStyle w:val="0"/>
        <w:spacing w:before="200" w:lineRule="auto"/>
        <w:ind w:firstLine="540"/>
        <w:jc w:val="both"/>
      </w:pPr>
      <w:r>
        <w:rPr>
          <w:sz w:val="20"/>
        </w:rPr>
        <w:t xml:space="preserve">2) подготовка и размещение уведомления о подготовке проекта акта на официальном сайте для публичных консультаций;</w:t>
      </w:r>
    </w:p>
    <w:p>
      <w:pPr>
        <w:pStyle w:val="0"/>
        <w:spacing w:before="200" w:lineRule="auto"/>
        <w:ind w:firstLine="540"/>
        <w:jc w:val="both"/>
      </w:pPr>
      <w:r>
        <w:rPr>
          <w:sz w:val="20"/>
        </w:rPr>
        <w:t xml:space="preserve">3) рассылка извещений о проведении публичных консультаций по вопросу о подготовке проекта акта;</w:t>
      </w:r>
    </w:p>
    <w:p>
      <w:pPr>
        <w:pStyle w:val="0"/>
        <w:spacing w:before="200" w:lineRule="auto"/>
        <w:ind w:firstLine="540"/>
        <w:jc w:val="both"/>
      </w:pPr>
      <w:r>
        <w:rPr>
          <w:sz w:val="20"/>
        </w:rPr>
        <w:t xml:space="preserve">4) анализ поступивших предложений, принятие решения по итогам публичных консультаций (обсуждений), формирование сводки предложений, размещенной на официальном сайте.</w:t>
      </w:r>
    </w:p>
    <w:p>
      <w:pPr>
        <w:pStyle w:val="0"/>
        <w:spacing w:before="200" w:lineRule="auto"/>
        <w:ind w:firstLine="540"/>
        <w:jc w:val="both"/>
      </w:pPr>
      <w:r>
        <w:rPr>
          <w:sz w:val="20"/>
        </w:rPr>
        <w:t xml:space="preserve">11. При составлении перечня заинтересованных лиц профильному органу рекомендуется определить сферы общественных отношений, затрагиваемые предлагаемым регулированием, учесть референтные группы, сформированные при исполнительных органах государственной власти Свердловской области по направлениям деятельности, общественный совет при исполнительном органе государственной власти Свердловской области (далее - общественный совет), подведомственные организации, отраслевые союзы и т.д.</w:t>
      </w:r>
    </w:p>
    <w:p>
      <w:pPr>
        <w:pStyle w:val="0"/>
        <w:spacing w:before="200" w:lineRule="auto"/>
        <w:ind w:firstLine="540"/>
        <w:jc w:val="both"/>
      </w:pPr>
      <w:r>
        <w:rPr>
          <w:sz w:val="20"/>
        </w:rPr>
        <w:t xml:space="preserve">12. Круг участников публичных консультаций определяется профильным органом с учетом необходимости максимального вовлечения заинтересованных лиц в процесс подготовки и принятия решения о целесообразности введения предлагаемого регулирования.</w:t>
      </w:r>
    </w:p>
    <w:p>
      <w:pPr>
        <w:pStyle w:val="0"/>
        <w:spacing w:before="200" w:lineRule="auto"/>
        <w:ind w:firstLine="540"/>
        <w:jc w:val="both"/>
      </w:pPr>
      <w:r>
        <w:rPr>
          <w:sz w:val="20"/>
        </w:rPr>
        <w:t xml:space="preserve">13. В целях проведения публичных консультаций профильный орган составляет уведомление о подготовке проекта акта, в который включаются сведения, предусмотренные </w:t>
      </w:r>
      <w:hyperlink w:history="0" r:id="rId85"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пунктом 31</w:t>
        </w:r>
      </w:hyperlink>
      <w:r>
        <w:rPr>
          <w:sz w:val="20"/>
        </w:rPr>
        <w:t xml:space="preserve"> Порядка проведения ОРВ.</w:t>
      </w:r>
    </w:p>
    <w:p>
      <w:pPr>
        <w:pStyle w:val="0"/>
        <w:jc w:val="both"/>
      </w:pPr>
      <w:r>
        <w:rPr>
          <w:sz w:val="20"/>
        </w:rPr>
        <w:t xml:space="preserve">(в ред. </w:t>
      </w:r>
      <w:hyperlink w:history="0" r:id="rId86"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14. Профильный орган размещает на официальном сайте уведомление о подготовке проекта акта, перечень вопросов для участников публичных консультаций, а также, при необходимости, статистические, аналитические и другие документы (справки).</w:t>
      </w:r>
    </w:p>
    <w:p>
      <w:pPr>
        <w:pStyle w:val="0"/>
        <w:spacing w:before="200" w:lineRule="auto"/>
        <w:ind w:firstLine="540"/>
        <w:jc w:val="both"/>
      </w:pPr>
      <w:r>
        <w:rPr>
          <w:sz w:val="20"/>
        </w:rPr>
        <w:t xml:space="preserve">15. Одновременно с размещением документов профильному органу рекомендуется извещать заинтересованных лиц, в том числе с использованием программных средств официального сайта. При этом необходимо указать сведения о месте такого размещения на официальном сайте (полный электронный адрес), срок приема предложений и контакты профильного органа для их направления.</w:t>
      </w:r>
    </w:p>
    <w:p>
      <w:pPr>
        <w:pStyle w:val="0"/>
        <w:spacing w:before="200" w:lineRule="auto"/>
        <w:ind w:firstLine="540"/>
        <w:jc w:val="both"/>
      </w:pPr>
      <w:r>
        <w:rPr>
          <w:sz w:val="20"/>
        </w:rPr>
        <w:t xml:space="preserve">Уполномоченным органом в обязательном порядке извещаются организации, заключившие соглашения о сотрудничестве при проведении ОРВ, а также эксперты, подписавшиеся на рассылку на официальном сайте.</w:t>
      </w:r>
    </w:p>
    <w:p>
      <w:pPr>
        <w:pStyle w:val="0"/>
        <w:spacing w:before="200" w:lineRule="auto"/>
        <w:ind w:firstLine="540"/>
        <w:jc w:val="both"/>
      </w:pPr>
      <w:r>
        <w:rPr>
          <w:sz w:val="20"/>
        </w:rPr>
        <w:t xml:space="preserve">16. Профильному органу рекомендуется использовать дополнительные способы оповещения заинтересованных лиц о проведении публичных консультаций, в том числе направлять соответствующую информацию в электронном виде и (или) на бумажном носителе в адрес заинтересованных лиц.</w:t>
      </w:r>
    </w:p>
    <w:p>
      <w:pPr>
        <w:pStyle w:val="0"/>
        <w:spacing w:before="200" w:lineRule="auto"/>
        <w:ind w:firstLine="540"/>
        <w:jc w:val="both"/>
      </w:pPr>
      <w:r>
        <w:rPr>
          <w:sz w:val="20"/>
        </w:rPr>
        <w:t xml:space="preserve">17. В целях охвата большего количества заинтересованных лиц рекомендуется дополнительно использовать такие формы проведения публичных консультаций, как открытые заседания общественно-консультативных органов и комиссий, в том числе общественных советов, опросы заинтересованных лиц, в том числе проводимые на официальном сайте профильного органа в информационно-телекоммуникационной сети Интернет, а также на иных площадках в информационно-телекоммуникационной сети Интернет, заседания экспертных групп, совещания с заинтересованными лицами и другие формы. При выборе дополнительных форм проведения публичных консультаций в отношении уведомления профильному органу рекомендуется обеспечить объективность выбранных им форм проведения публичных консультаций, независимость выбора участников публичных консультаций, а также достаточность срока представления участниками публичных консультаций своих предложений.</w:t>
      </w:r>
    </w:p>
    <w:p>
      <w:pPr>
        <w:pStyle w:val="0"/>
        <w:spacing w:before="200" w:lineRule="auto"/>
        <w:ind w:firstLine="540"/>
        <w:jc w:val="both"/>
      </w:pPr>
      <w:r>
        <w:rPr>
          <w:sz w:val="20"/>
        </w:rPr>
        <w:t xml:space="preserve">18. Минимальный срок проведения публичных консультаций утвержден </w:t>
      </w:r>
      <w:hyperlink w:history="0" r:id="rId87"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пунктом 32</w:t>
        </w:r>
      </w:hyperlink>
      <w:r>
        <w:rPr>
          <w:sz w:val="20"/>
        </w:rPr>
        <w:t xml:space="preserve"> Порядка проведения ОРВ.</w:t>
      </w:r>
    </w:p>
    <w:p>
      <w:pPr>
        <w:pStyle w:val="0"/>
        <w:jc w:val="both"/>
      </w:pPr>
      <w:r>
        <w:rPr>
          <w:sz w:val="20"/>
        </w:rPr>
        <w:t xml:space="preserve">(в ред. </w:t>
      </w:r>
      <w:hyperlink w:history="0" r:id="rId88"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19. Профильному органу рекомендуется предоставить возможность направления предложений участниками публичных консультаций в отношении уведомления посредством официального сайта, а также в электронном виде или на бумажном носителе, в том числе в форме:</w:t>
      </w:r>
    </w:p>
    <w:p>
      <w:pPr>
        <w:pStyle w:val="0"/>
        <w:spacing w:before="200" w:lineRule="auto"/>
        <w:ind w:firstLine="540"/>
        <w:jc w:val="both"/>
      </w:pPr>
      <w:r>
        <w:rPr>
          <w:sz w:val="20"/>
        </w:rPr>
        <w:t xml:space="preserve">1) писем;</w:t>
      </w:r>
    </w:p>
    <w:p>
      <w:pPr>
        <w:pStyle w:val="0"/>
        <w:spacing w:before="200" w:lineRule="auto"/>
        <w:ind w:firstLine="540"/>
        <w:jc w:val="both"/>
      </w:pPr>
      <w:r>
        <w:rPr>
          <w:sz w:val="20"/>
        </w:rPr>
        <w:t xml:space="preserve">2) протоколов заседаний общественно-консультативных органов и совещаний;</w:t>
      </w:r>
    </w:p>
    <w:p>
      <w:pPr>
        <w:pStyle w:val="0"/>
        <w:spacing w:before="200" w:lineRule="auto"/>
        <w:ind w:firstLine="540"/>
        <w:jc w:val="both"/>
      </w:pPr>
      <w:r>
        <w:rPr>
          <w:sz w:val="20"/>
        </w:rPr>
        <w:t xml:space="preserve">3) анкет и опросных форм.</w:t>
      </w:r>
    </w:p>
    <w:p>
      <w:pPr>
        <w:pStyle w:val="0"/>
        <w:spacing w:before="200" w:lineRule="auto"/>
        <w:ind w:firstLine="540"/>
        <w:jc w:val="both"/>
      </w:pPr>
      <w:r>
        <w:rPr>
          <w:sz w:val="20"/>
        </w:rPr>
        <w:t xml:space="preserve">20. Участникам публичных консультаций рекомендуется направлять свои предложения с использованием программных средств официального сайта.</w:t>
      </w:r>
    </w:p>
    <w:p>
      <w:pPr>
        <w:pStyle w:val="0"/>
        <w:spacing w:before="200" w:lineRule="auto"/>
        <w:ind w:firstLine="540"/>
        <w:jc w:val="both"/>
      </w:pPr>
      <w:r>
        <w:rPr>
          <w:sz w:val="20"/>
        </w:rPr>
        <w:t xml:space="preserve">Направляемые предложения рекомендуется подписывать руководителем организации, его заместителем или специально уполномоченным представителем организации. В противном случае предложения могут расцениваться как личная позиция автора предложений.</w:t>
      </w:r>
    </w:p>
    <w:p>
      <w:pPr>
        <w:pStyle w:val="0"/>
        <w:spacing w:before="200" w:lineRule="auto"/>
        <w:ind w:firstLine="540"/>
        <w:jc w:val="both"/>
      </w:pPr>
      <w:r>
        <w:rPr>
          <w:sz w:val="20"/>
        </w:rPr>
        <w:t xml:space="preserve">21. С целью анализа и обработки поступивших предложений профильному органу рекомендуется систематизировать (структурировать) полученную информацию, рассмотреть возможность учета, результаты оформить в виде сводки предложений. При этом привести подробное обоснование в случае частичного учета либо отклонения предложений. Типовая форма сводки предложений предусмотрена Методическими рекомендациями по составлению уведомления о проведении публичных консультаций и заключения о проведении оценки регулирующего воздействия.</w:t>
      </w:r>
    </w:p>
    <w:p>
      <w:pPr>
        <w:pStyle w:val="0"/>
        <w:jc w:val="both"/>
      </w:pPr>
      <w:r>
        <w:rPr>
          <w:sz w:val="20"/>
        </w:rPr>
      </w:r>
    </w:p>
    <w:p>
      <w:pPr>
        <w:pStyle w:val="2"/>
        <w:outlineLvl w:val="1"/>
        <w:jc w:val="center"/>
      </w:pPr>
      <w:r>
        <w:rPr>
          <w:sz w:val="20"/>
        </w:rPr>
        <w:t xml:space="preserve">Глава 3. РЕКОМЕНДАЦИИ ПО ПРОВЕДЕНИЮ ПУБЛИЧНЫХ КОНСУЛЬТАЦИЙ</w:t>
      </w:r>
    </w:p>
    <w:p>
      <w:pPr>
        <w:pStyle w:val="2"/>
        <w:jc w:val="center"/>
      </w:pPr>
      <w:r>
        <w:rPr>
          <w:sz w:val="20"/>
        </w:rPr>
        <w:t xml:space="preserve">ПО ПРОЕКТУ АКТА</w:t>
      </w:r>
    </w:p>
    <w:p>
      <w:pPr>
        <w:pStyle w:val="0"/>
        <w:jc w:val="both"/>
      </w:pPr>
      <w:r>
        <w:rPr>
          <w:sz w:val="20"/>
        </w:rPr>
      </w:r>
    </w:p>
    <w:p>
      <w:pPr>
        <w:pStyle w:val="0"/>
        <w:ind w:firstLine="540"/>
        <w:jc w:val="both"/>
      </w:pPr>
      <w:r>
        <w:rPr>
          <w:sz w:val="20"/>
        </w:rPr>
        <w:t xml:space="preserve">22. Публичные консультации по проекту акта содержат следующие этапы:</w:t>
      </w:r>
    </w:p>
    <w:p>
      <w:pPr>
        <w:pStyle w:val="0"/>
        <w:spacing w:before="200" w:lineRule="auto"/>
        <w:ind w:firstLine="540"/>
        <w:jc w:val="both"/>
      </w:pPr>
      <w:r>
        <w:rPr>
          <w:sz w:val="20"/>
        </w:rPr>
        <w:t xml:space="preserve">1) формирование перечня заинтересованных лиц;</w:t>
      </w:r>
    </w:p>
    <w:p>
      <w:pPr>
        <w:pStyle w:val="0"/>
        <w:spacing w:before="200" w:lineRule="auto"/>
        <w:ind w:firstLine="540"/>
        <w:jc w:val="both"/>
      </w:pPr>
      <w:r>
        <w:rPr>
          <w:sz w:val="20"/>
        </w:rPr>
        <w:t xml:space="preserve">2) составление перечня вопросов, которые целесообразно обсудить в рамках публичных консультаций;</w:t>
      </w:r>
    </w:p>
    <w:p>
      <w:pPr>
        <w:pStyle w:val="0"/>
        <w:spacing w:before="200" w:lineRule="auto"/>
        <w:ind w:firstLine="540"/>
        <w:jc w:val="both"/>
      </w:pPr>
      <w:r>
        <w:rPr>
          <w:sz w:val="20"/>
        </w:rPr>
        <w:t xml:space="preserve">3) подготовка и размещение уведомления о проекте акта на официальном сайте;</w:t>
      </w:r>
    </w:p>
    <w:p>
      <w:pPr>
        <w:pStyle w:val="0"/>
        <w:spacing w:before="200" w:lineRule="auto"/>
        <w:ind w:firstLine="540"/>
        <w:jc w:val="both"/>
      </w:pPr>
      <w:r>
        <w:rPr>
          <w:sz w:val="20"/>
        </w:rPr>
        <w:t xml:space="preserve">4) рассылка извещений о проведении публичных консультаций по вопросу проекта акта;</w:t>
      </w:r>
    </w:p>
    <w:p>
      <w:pPr>
        <w:pStyle w:val="0"/>
        <w:spacing w:before="200" w:lineRule="auto"/>
        <w:ind w:firstLine="540"/>
        <w:jc w:val="both"/>
      </w:pPr>
      <w:r>
        <w:rPr>
          <w:sz w:val="20"/>
        </w:rPr>
        <w:t xml:space="preserve">5) анализ поступивших предложений, принятие решения по итогам публичных консультаций (обсуждений), составление сводки предложений, размещенной на официальном сайте.</w:t>
      </w:r>
    </w:p>
    <w:p>
      <w:pPr>
        <w:pStyle w:val="0"/>
        <w:spacing w:before="200" w:lineRule="auto"/>
        <w:ind w:firstLine="540"/>
        <w:jc w:val="both"/>
      </w:pPr>
      <w:r>
        <w:rPr>
          <w:sz w:val="20"/>
        </w:rPr>
        <w:t xml:space="preserve">23. </w:t>
      </w:r>
      <w:hyperlink w:history="0" w:anchor="P477" w:tooltip="ТИПОВОЙ ПЕРЕЧЕНЬ">
        <w:r>
          <w:rPr>
            <w:sz w:val="20"/>
            <w:color w:val="0000ff"/>
          </w:rPr>
          <w:t xml:space="preserve">Перечень</w:t>
        </w:r>
      </w:hyperlink>
      <w:r>
        <w:rPr>
          <w:sz w:val="20"/>
        </w:rPr>
        <w:t xml:space="preserve"> вопросов в обязательном порядке включает вопросы в соответствии с приложением N 2 к Методическим рекомендациям по составлению уведомления о проведении публичных консультаций и заключения о проведении оценки регулирующего воздействия. Профильный орган вправе включить в перечень дополнительные вопросы, позволяющие получить необходимую для него информацию.</w:t>
      </w:r>
    </w:p>
    <w:p>
      <w:pPr>
        <w:pStyle w:val="0"/>
        <w:spacing w:before="200" w:lineRule="auto"/>
        <w:ind w:firstLine="540"/>
        <w:jc w:val="both"/>
      </w:pPr>
      <w:r>
        <w:rPr>
          <w:sz w:val="20"/>
        </w:rPr>
        <w:t xml:space="preserve">При составлении перечня вопросов рекомендуется включать вопросы, исходя из специфики предлагаемого регулирования.</w:t>
      </w:r>
    </w:p>
    <w:p>
      <w:pPr>
        <w:pStyle w:val="0"/>
        <w:spacing w:before="200" w:lineRule="auto"/>
        <w:ind w:firstLine="540"/>
        <w:jc w:val="both"/>
      </w:pPr>
      <w:r>
        <w:rPr>
          <w:sz w:val="20"/>
        </w:rPr>
        <w:t xml:space="preserve">24. В целях проведения публичных консультаций по проекту акта профильный орган, согласно Инструкции для разработчиков проектов НПА по работе с интернет-порталом для публичного обсуждения проектов и действующих нормативных актов Свердловской области (далее - инструкции для разработчиков), размещает на официальном сайте:</w:t>
      </w:r>
    </w:p>
    <w:p>
      <w:pPr>
        <w:pStyle w:val="0"/>
        <w:jc w:val="both"/>
      </w:pPr>
      <w:r>
        <w:rPr>
          <w:sz w:val="20"/>
        </w:rPr>
        <w:t xml:space="preserve">(в ред. </w:t>
      </w:r>
      <w:hyperlink w:history="0" r:id="rId89"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1) проект акта;</w:t>
      </w:r>
    </w:p>
    <w:p>
      <w:pPr>
        <w:pStyle w:val="0"/>
        <w:spacing w:before="200" w:lineRule="auto"/>
        <w:ind w:firstLine="540"/>
        <w:jc w:val="both"/>
      </w:pPr>
      <w:r>
        <w:rPr>
          <w:sz w:val="20"/>
        </w:rPr>
        <w:t xml:space="preserve">2) пояснительную записку к нему (при наличии);</w:t>
      </w:r>
    </w:p>
    <w:p>
      <w:pPr>
        <w:pStyle w:val="0"/>
        <w:spacing w:before="200" w:lineRule="auto"/>
        <w:ind w:firstLine="540"/>
        <w:jc w:val="both"/>
      </w:pPr>
      <w:r>
        <w:rPr>
          <w:sz w:val="20"/>
        </w:rPr>
        <w:t xml:space="preserve">3) уведомление о проведении публичных консультаций;</w:t>
      </w:r>
    </w:p>
    <w:bookmarkStart w:id="1107" w:name="P1107"/>
    <w:bookmarkEnd w:id="1107"/>
    <w:p>
      <w:pPr>
        <w:pStyle w:val="0"/>
        <w:spacing w:before="200" w:lineRule="auto"/>
        <w:ind w:firstLine="540"/>
        <w:jc w:val="both"/>
      </w:pPr>
      <w:r>
        <w:rPr>
          <w:sz w:val="20"/>
        </w:rPr>
        <w:t xml:space="preserve">4) действующий правовой акт (в случае внесения изменений в уже существующий правовой акт);</w:t>
      </w:r>
    </w:p>
    <w:bookmarkStart w:id="1108" w:name="P1108"/>
    <w:bookmarkEnd w:id="1108"/>
    <w:p>
      <w:pPr>
        <w:pStyle w:val="0"/>
        <w:spacing w:before="200" w:lineRule="auto"/>
        <w:ind w:firstLine="540"/>
        <w:jc w:val="both"/>
      </w:pPr>
      <w:r>
        <w:rPr>
          <w:sz w:val="20"/>
        </w:rPr>
        <w:t xml:space="preserve">5) сравнительную таблицу (в случае внесения изменений в уже существующий нормативный правовой акт);</w:t>
      </w:r>
    </w:p>
    <w:p>
      <w:pPr>
        <w:pStyle w:val="0"/>
        <w:spacing w:before="200" w:lineRule="auto"/>
        <w:ind w:firstLine="540"/>
        <w:jc w:val="both"/>
      </w:pPr>
      <w:r>
        <w:rPr>
          <w:sz w:val="20"/>
        </w:rPr>
        <w:t xml:space="preserve">6) проект акта в режиме правок (в случае внесения изменений в уже существующий нормативный правовой акт).</w:t>
      </w:r>
    </w:p>
    <w:p>
      <w:pPr>
        <w:pStyle w:val="0"/>
        <w:spacing w:before="200" w:lineRule="auto"/>
        <w:ind w:firstLine="540"/>
        <w:jc w:val="both"/>
      </w:pPr>
      <w:r>
        <w:rPr>
          <w:sz w:val="20"/>
        </w:rPr>
        <w:t xml:space="preserve">При этом сведения, указанные в </w:t>
      </w:r>
      <w:hyperlink w:history="0" w:anchor="P1107" w:tooltip="4) действующий правовой акт (в случае внесения изменений в уже существующий правовой акт);">
        <w:r>
          <w:rPr>
            <w:sz w:val="20"/>
            <w:color w:val="0000ff"/>
          </w:rPr>
          <w:t xml:space="preserve">подпунктах 4</w:t>
        </w:r>
      </w:hyperlink>
      <w:r>
        <w:rPr>
          <w:sz w:val="20"/>
        </w:rPr>
        <w:t xml:space="preserve"> и </w:t>
      </w:r>
      <w:hyperlink w:history="0" w:anchor="P1108" w:tooltip="5) сравнительную таблицу (в случае внесения изменений в уже существующий нормативный правовой акт);">
        <w:r>
          <w:rPr>
            <w:sz w:val="20"/>
            <w:color w:val="0000ff"/>
          </w:rPr>
          <w:t xml:space="preserve">5</w:t>
        </w:r>
      </w:hyperlink>
      <w:r>
        <w:rPr>
          <w:sz w:val="20"/>
        </w:rPr>
        <w:t xml:space="preserve">, формируются в единый документ и размещаются на официальном сайте в поле "приложение".</w:t>
      </w:r>
    </w:p>
    <w:p>
      <w:pPr>
        <w:pStyle w:val="0"/>
        <w:spacing w:before="200" w:lineRule="auto"/>
        <w:ind w:firstLine="540"/>
        <w:jc w:val="both"/>
      </w:pPr>
      <w:r>
        <w:rPr>
          <w:sz w:val="20"/>
        </w:rPr>
        <w:t xml:space="preserve">25. При подведении итогов публичных консультаций по проекту акта профильный орган обязан рассмотреть все поступившие в установленный срок предложения, относящиеся к предмету предлагаемого регулирования, направленные средствами официального сайта. К итогам публичных консультаций также следует относить результаты рассмотрения проекта акта координационными органами, в том числе общественными советами, созданными при исполнительных органах государственной власти Свердловской области.</w:t>
      </w:r>
    </w:p>
    <w:p>
      <w:pPr>
        <w:pStyle w:val="0"/>
        <w:spacing w:before="200" w:lineRule="auto"/>
        <w:ind w:firstLine="540"/>
        <w:jc w:val="both"/>
      </w:pPr>
      <w:r>
        <w:rPr>
          <w:sz w:val="20"/>
        </w:rPr>
        <w:t xml:space="preserve">Рекомендуется включать в сводку предложений заключения и предложения Уполномоченного по защите прав предпринимателей в Свердловской области, поступившие в рамках публичных консультаций, а также в период после завершения публичных консультаций до дня формирования сводки предложений на официальном сайте.</w:t>
      </w:r>
    </w:p>
    <w:p>
      <w:pPr>
        <w:pStyle w:val="0"/>
        <w:spacing w:before="200" w:lineRule="auto"/>
        <w:ind w:firstLine="540"/>
        <w:jc w:val="both"/>
      </w:pPr>
      <w:r>
        <w:rPr>
          <w:sz w:val="20"/>
        </w:rPr>
        <w:t xml:space="preserve">Предложения, направленные участниками публичных консультаций посредством официального сайта, оформляются в виде сводки установленной формы автоматически, согласно инструкции для разработчиков и дорабатывается с учетом </w:t>
      </w:r>
      <w:hyperlink w:history="0" w:anchor="P383" w:tooltip="20. При формировании сводки предложений профильный орган выгружает ее средствами официального сайта и дорабатывает путем расшифровки в полноценные предложения ответов участников публичных консультаций в автоматической опросной форме, объединений ответов, направленных одним и тем же участником публичных консультаций, схожих по существу (например, все ответы указывают на поддержку проекта акта участником публичных консультаций), а также включения предложений, полученных иным путем (например, в рамках очных...">
        <w:r>
          <w:rPr>
            <w:sz w:val="20"/>
            <w:color w:val="0000ff"/>
          </w:rPr>
          <w:t xml:space="preserve">пункта 20</w:t>
        </w:r>
      </w:hyperlink>
      <w:r>
        <w:rPr>
          <w:sz w:val="20"/>
        </w:rPr>
        <w:t xml:space="preserve"> Методических рекомендаций по составлению уведомления о проведении публичных консультаций и заключения о проведении оценки регулирующего воздействия.</w:t>
      </w:r>
    </w:p>
    <w:p>
      <w:pPr>
        <w:pStyle w:val="0"/>
        <w:spacing w:before="200" w:lineRule="auto"/>
        <w:ind w:firstLine="540"/>
        <w:jc w:val="both"/>
      </w:pPr>
      <w:r>
        <w:rPr>
          <w:sz w:val="20"/>
        </w:rPr>
        <w:t xml:space="preserve">В случае направления участниками публичных консультаций своих замечаний и предложений без аргументированного обоснования своей позиции, профильный орган оставляет за собой право не учитывать данные предложения с обоснованием причины их неучета, отраженной в сводке предложений.</w:t>
      </w:r>
    </w:p>
    <w:p>
      <w:pPr>
        <w:pStyle w:val="0"/>
        <w:spacing w:before="200" w:lineRule="auto"/>
        <w:ind w:firstLine="540"/>
        <w:jc w:val="both"/>
      </w:pPr>
      <w:r>
        <w:rPr>
          <w:sz w:val="20"/>
        </w:rPr>
        <w:t xml:space="preserve">26. В случае если участник публичных консультаций по проекту акта обнаружил отсутствие своих предложений в сводке предложений и (или) в указанной сводке предложений информации об учете или причинах отклонения и отсутствует обоснование частичного учета либо отклонения предложений, ему рекомендуется обратиться в адрес профильного органа с мотивированным запросом о разъяснении сложившейся ситуации.</w:t>
      </w:r>
    </w:p>
    <w:p>
      <w:pPr>
        <w:pStyle w:val="0"/>
        <w:spacing w:before="200" w:lineRule="auto"/>
        <w:ind w:firstLine="540"/>
        <w:jc w:val="both"/>
      </w:pPr>
      <w:r>
        <w:rPr>
          <w:sz w:val="20"/>
        </w:rPr>
        <w:t xml:space="preserve">27. В случае принятия профильным органом решения о проведении повторных публичных консультаций по проекту акта такие публичные консультации рекомендуется проводить в соответствии с </w:t>
      </w:r>
      <w:hyperlink w:history="0" w:anchor="P1117" w:tooltip="28. В случае проведения согласительного совещания, оно назначается по решению руководителя (заместителя руководителя) профильного органа. Профильный орган определяет место и время проведения согласительного совещания, состав участников, в число которых рекомендуется включать независимых экспертов.">
        <w:r>
          <w:rPr>
            <w:sz w:val="20"/>
            <w:color w:val="0000ff"/>
          </w:rPr>
          <w:t xml:space="preserve">пунктом 28</w:t>
        </w:r>
      </w:hyperlink>
      <w:r>
        <w:rPr>
          <w:sz w:val="20"/>
        </w:rPr>
        <w:t xml:space="preserve"> настоящих методических рекомендаций с извещением об их проведении участников проведенных публичных консультаций.</w:t>
      </w:r>
    </w:p>
    <w:bookmarkStart w:id="1117" w:name="P1117"/>
    <w:bookmarkEnd w:id="1117"/>
    <w:p>
      <w:pPr>
        <w:pStyle w:val="0"/>
        <w:spacing w:before="200" w:lineRule="auto"/>
        <w:ind w:firstLine="540"/>
        <w:jc w:val="both"/>
      </w:pPr>
      <w:r>
        <w:rPr>
          <w:sz w:val="20"/>
        </w:rPr>
        <w:t xml:space="preserve">28. В случае проведения согласительного совещания, оно назначается по решению руководителя (заместителя руководителя) профильного органа. Профильный орган определяет место и время проведения согласительного совещания, состав участников, в число которых рекомендуется включать независимых экспертов.</w:t>
      </w:r>
    </w:p>
    <w:p>
      <w:pPr>
        <w:pStyle w:val="0"/>
        <w:spacing w:before="200" w:lineRule="auto"/>
        <w:ind w:firstLine="540"/>
        <w:jc w:val="both"/>
      </w:pPr>
      <w:r>
        <w:rPr>
          <w:sz w:val="20"/>
        </w:rPr>
        <w:t xml:space="preserve">Организациям, участвовавшим в публичных консультациях, рекомендуется направлять для участия в согласительных совещаниях руководителя, заместителей руководителя или специально уполномоченного представителя организации, подписавших предложения от организации.</w:t>
      </w:r>
    </w:p>
    <w:p>
      <w:pPr>
        <w:pStyle w:val="0"/>
        <w:spacing w:before="200" w:lineRule="auto"/>
        <w:ind w:firstLine="540"/>
        <w:jc w:val="both"/>
      </w:pPr>
      <w:r>
        <w:rPr>
          <w:sz w:val="20"/>
        </w:rPr>
        <w:t xml:space="preserve">Профильный орган направляет участникам публичных консультаций и в уполномоченный орган уведомление о проведении согласительного совещания не позднее чем за 3 рабочих дня до дня проведения такого совещания.</w:t>
      </w:r>
    </w:p>
    <w:p>
      <w:pPr>
        <w:pStyle w:val="0"/>
        <w:spacing w:before="200" w:lineRule="auto"/>
        <w:ind w:firstLine="540"/>
        <w:jc w:val="both"/>
      </w:pPr>
      <w:r>
        <w:rPr>
          <w:sz w:val="20"/>
        </w:rPr>
        <w:t xml:space="preserve">Во время проведения согласительного совещания рекомендуется осуществлять аудиозапись.</w:t>
      </w:r>
    </w:p>
    <w:p>
      <w:pPr>
        <w:pStyle w:val="0"/>
        <w:spacing w:before="200" w:lineRule="auto"/>
        <w:ind w:firstLine="540"/>
        <w:jc w:val="both"/>
      </w:pPr>
      <w:r>
        <w:rPr>
          <w:sz w:val="20"/>
        </w:rPr>
        <w:t xml:space="preserve">29. По результатам проведения согласительного совещания составляется протокол, который содержит мнения всех участников по каждому рассматриваемому предложению и выводы об учете, частичном учете либо отклонении предложений с приведением обоснования. В протоколе необходимо указывать неустраненные разногласия (при наличии). Протокол подготавливается и утверждается в порядке и сроки, установленные </w:t>
      </w:r>
      <w:hyperlink w:history="0" r:id="rId90" w:tooltip="Постановление Правительства Свердловской области от 26.11.2014 N 1051-ПП (ред. от 03.10.2024)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рядком проведения оценки регулирующего воздействия проектов нормативных правовых актов Свердловской области&quot;, &quot;Порядком размещения документов на сайте в информационно-телекоммуникационной сети &quot;Интернет&quot;, предназначенном для размещения инф {КонсультантПлюс}">
        <w:r>
          <w:rPr>
            <w:sz w:val="20"/>
            <w:color w:val="0000ff"/>
          </w:rPr>
          <w:t xml:space="preserve">пунктом 26-1</w:t>
        </w:r>
      </w:hyperlink>
      <w:r>
        <w:rPr>
          <w:sz w:val="20"/>
        </w:rPr>
        <w:t xml:space="preserve"> Порядка проведения ОРВ.</w:t>
      </w:r>
    </w:p>
    <w:p>
      <w:pPr>
        <w:pStyle w:val="0"/>
        <w:jc w:val="both"/>
      </w:pPr>
      <w:r>
        <w:rPr>
          <w:sz w:val="20"/>
        </w:rPr>
        <w:t xml:space="preserve">(в ред. </w:t>
      </w:r>
      <w:hyperlink w:history="0" r:id="rId91"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jc w:val="both"/>
      </w:pPr>
      <w:r>
        <w:rPr>
          <w:sz w:val="20"/>
        </w:rPr>
      </w:r>
    </w:p>
    <w:p>
      <w:pPr>
        <w:pStyle w:val="2"/>
        <w:outlineLvl w:val="1"/>
        <w:jc w:val="center"/>
      </w:pPr>
      <w:r>
        <w:rPr>
          <w:sz w:val="20"/>
        </w:rPr>
        <w:t xml:space="preserve">Глава 4. ОБЩЕСТВЕННЫЙ КОНТРОЛЬ КАЧЕСТВА ПРОВЕДЕНИЯ</w:t>
      </w:r>
    </w:p>
    <w:p>
      <w:pPr>
        <w:pStyle w:val="2"/>
        <w:jc w:val="center"/>
      </w:pPr>
      <w:r>
        <w:rPr>
          <w:sz w:val="20"/>
        </w:rPr>
        <w:t xml:space="preserve">ПУБЛИЧНЫХ КОНСУЛЬТАЦИЙ</w:t>
      </w:r>
    </w:p>
    <w:p>
      <w:pPr>
        <w:pStyle w:val="0"/>
        <w:jc w:val="both"/>
      </w:pPr>
      <w:r>
        <w:rPr>
          <w:sz w:val="20"/>
        </w:rPr>
      </w:r>
    </w:p>
    <w:p>
      <w:pPr>
        <w:pStyle w:val="0"/>
        <w:ind w:firstLine="540"/>
        <w:jc w:val="both"/>
      </w:pPr>
      <w:r>
        <w:rPr>
          <w:sz w:val="20"/>
        </w:rPr>
        <w:t xml:space="preserve">30. Общественный контроль в сфере ОРВ выражается в общественной оценке эффективности деятельности профильного органа по организации и проведению публичных консультаций в соответствии с законодательством, а также учету их результатов (далее - общественная оценка).</w:t>
      </w:r>
    </w:p>
    <w:p>
      <w:pPr>
        <w:pStyle w:val="0"/>
        <w:spacing w:before="200" w:lineRule="auto"/>
        <w:ind w:firstLine="540"/>
        <w:jc w:val="both"/>
      </w:pPr>
      <w:r>
        <w:rPr>
          <w:sz w:val="20"/>
        </w:rPr>
        <w:t xml:space="preserve">31. Общественный контроль в сфере ОРВ осуществляется в целях выявления нарушений проведения процедур публичных консультаций со стороны профильного органа, выделения основных проблем, с которыми он сталкивается в процессе их проведения, для их минимизации и дальнейшего устранения.</w:t>
      </w:r>
    </w:p>
    <w:p>
      <w:pPr>
        <w:pStyle w:val="0"/>
        <w:spacing w:before="200" w:lineRule="auto"/>
        <w:ind w:firstLine="540"/>
        <w:jc w:val="both"/>
      </w:pPr>
      <w:r>
        <w:rPr>
          <w:sz w:val="20"/>
        </w:rPr>
        <w:t xml:space="preserve">32. Общественный контроль в сфере ОРВ рекомендуется осуществлять общественным советам, созданными при профильных органах, в рамках имеющихся полномочий (далее - общественный совет).</w:t>
      </w:r>
    </w:p>
    <w:p>
      <w:pPr>
        <w:pStyle w:val="0"/>
        <w:jc w:val="both"/>
      </w:pPr>
      <w:r>
        <w:rPr>
          <w:sz w:val="20"/>
        </w:rPr>
        <w:t xml:space="preserve">(п. 32 в ред. </w:t>
      </w:r>
      <w:hyperlink w:history="0" r:id="rId92"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33. В целях проведения общественного контроля исполнительным органам государственной власти Свердловской области, проводившим ОРВ, рекомендуется раз в полугодие формировать информационную справку о результатах проведения публичных консультаций (далее - информационная справка), в которую в том числе рекомендуется включать следующие сведения за отчетный период:</w:t>
      </w:r>
    </w:p>
    <w:p>
      <w:pPr>
        <w:pStyle w:val="0"/>
        <w:spacing w:before="200" w:lineRule="auto"/>
        <w:ind w:firstLine="540"/>
        <w:jc w:val="both"/>
      </w:pPr>
      <w:r>
        <w:rPr>
          <w:sz w:val="20"/>
        </w:rPr>
        <w:t xml:space="preserve">1) об общем количестве проектов актов, по которым проведены публичные консультации;</w:t>
      </w:r>
    </w:p>
    <w:p>
      <w:pPr>
        <w:pStyle w:val="0"/>
        <w:spacing w:before="200" w:lineRule="auto"/>
        <w:ind w:firstLine="540"/>
        <w:jc w:val="both"/>
      </w:pPr>
      <w:r>
        <w:rPr>
          <w:sz w:val="20"/>
        </w:rPr>
        <w:t xml:space="preserve">2) о количестве граждан и организаций, извещенных о проведении публичных консультаций;</w:t>
      </w:r>
    </w:p>
    <w:p>
      <w:pPr>
        <w:pStyle w:val="0"/>
        <w:spacing w:before="200" w:lineRule="auto"/>
        <w:ind w:firstLine="540"/>
        <w:jc w:val="both"/>
      </w:pPr>
      <w:r>
        <w:rPr>
          <w:sz w:val="20"/>
        </w:rPr>
        <w:t xml:space="preserve">3) о количестве участников публичных консультаций;</w:t>
      </w:r>
    </w:p>
    <w:p>
      <w:pPr>
        <w:pStyle w:val="0"/>
        <w:spacing w:before="200" w:lineRule="auto"/>
        <w:ind w:firstLine="540"/>
        <w:jc w:val="both"/>
      </w:pPr>
      <w:r>
        <w:rPr>
          <w:sz w:val="20"/>
        </w:rPr>
        <w:t xml:space="preserve">4) о количестве поступивших предложений от участников публичных консультаций;</w:t>
      </w:r>
    </w:p>
    <w:p>
      <w:pPr>
        <w:pStyle w:val="0"/>
        <w:spacing w:before="200" w:lineRule="auto"/>
        <w:ind w:firstLine="540"/>
        <w:jc w:val="both"/>
      </w:pPr>
      <w:r>
        <w:rPr>
          <w:sz w:val="20"/>
        </w:rPr>
        <w:t xml:space="preserve">5) о количестве учтенных, частично учтенных и отклоненных предложений от участников публичных консультаций, наличии обоснований в случае отклонения предложений о доработке проектов актов;</w:t>
      </w:r>
    </w:p>
    <w:p>
      <w:pPr>
        <w:pStyle w:val="0"/>
        <w:spacing w:before="200" w:lineRule="auto"/>
        <w:ind w:firstLine="540"/>
        <w:jc w:val="both"/>
      </w:pPr>
      <w:r>
        <w:rPr>
          <w:sz w:val="20"/>
        </w:rPr>
        <w:t xml:space="preserve">6) о количестве и результатах согласительных совещаний;</w:t>
      </w:r>
    </w:p>
    <w:p>
      <w:pPr>
        <w:pStyle w:val="0"/>
        <w:spacing w:before="200" w:lineRule="auto"/>
        <w:ind w:firstLine="540"/>
        <w:jc w:val="both"/>
      </w:pPr>
      <w:r>
        <w:rPr>
          <w:sz w:val="20"/>
        </w:rPr>
        <w:t xml:space="preserve">7) о количестве обращений (жалоб), поступивших от участников публичных консультаций, о результатах их рассмотрения исполнительным органом государственной власти Свердловской области;</w:t>
      </w:r>
    </w:p>
    <w:p>
      <w:pPr>
        <w:pStyle w:val="0"/>
        <w:spacing w:before="200" w:lineRule="auto"/>
        <w:ind w:firstLine="540"/>
        <w:jc w:val="both"/>
      </w:pPr>
      <w:r>
        <w:rPr>
          <w:sz w:val="20"/>
        </w:rPr>
        <w:t xml:space="preserve">8) о соблюдении сроков размещения на официальном сайте для публичных консультаций итоговых документов ОРВ (заключений и сводок предложений).</w:t>
      </w:r>
    </w:p>
    <w:p>
      <w:pPr>
        <w:pStyle w:val="0"/>
        <w:spacing w:before="200" w:lineRule="auto"/>
        <w:ind w:firstLine="540"/>
        <w:jc w:val="both"/>
      </w:pPr>
      <w:r>
        <w:rPr>
          <w:sz w:val="20"/>
        </w:rPr>
        <w:t xml:space="preserve">Информационные справки направляются профильным органом для рассмотрения в общественный совет (по мере необходимости).</w:t>
      </w:r>
    </w:p>
    <w:p>
      <w:pPr>
        <w:pStyle w:val="0"/>
        <w:jc w:val="both"/>
      </w:pPr>
      <w:r>
        <w:rPr>
          <w:sz w:val="20"/>
        </w:rPr>
        <w:t xml:space="preserve">(часть вторая в ред. </w:t>
      </w:r>
      <w:hyperlink w:history="0" r:id="rId93" w:tooltip="Приказ Минэкономики и терразвития СО от 28.10.2024 N 14-НПА &quot;О внесении изменений в Приказ Министерства экономики и территориального развития Свердловской области от 29.03.2018 N 17 &quot;Об утверждении методических рекомендаций по составлению уведомления о проведении публичных консультаций и заключения об оценке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 {КонсультантПлюс}">
        <w:r>
          <w:rPr>
            <w:sz w:val="20"/>
            <w:color w:val="0000ff"/>
          </w:rPr>
          <w:t xml:space="preserve">Приказа</w:t>
        </w:r>
      </w:hyperlink>
      <w:r>
        <w:rPr>
          <w:sz w:val="20"/>
        </w:rPr>
        <w:t xml:space="preserve"> Минэкономики и терразвития СО от 28.10.2024 N 14-НПА)</w:t>
      </w:r>
    </w:p>
    <w:p>
      <w:pPr>
        <w:pStyle w:val="0"/>
        <w:spacing w:before="200" w:lineRule="auto"/>
        <w:ind w:firstLine="540"/>
        <w:jc w:val="both"/>
      </w:pPr>
      <w:r>
        <w:rPr>
          <w:sz w:val="20"/>
        </w:rPr>
        <w:t xml:space="preserve">34. Исполнительному органу государственной власти Свердловской области рекомендуется представлять по запросу общественного совета дополнительные материалы, информацию, разъяснения.</w:t>
      </w:r>
    </w:p>
    <w:p>
      <w:pPr>
        <w:pStyle w:val="0"/>
        <w:spacing w:before="200" w:lineRule="auto"/>
        <w:ind w:firstLine="540"/>
        <w:jc w:val="both"/>
      </w:pPr>
      <w:r>
        <w:rPr>
          <w:sz w:val="20"/>
        </w:rPr>
        <w:t xml:space="preserve">35. При проведении общественного контроля на заседании общественного совета могут:</w:t>
      </w:r>
    </w:p>
    <w:p>
      <w:pPr>
        <w:pStyle w:val="0"/>
        <w:spacing w:before="200" w:lineRule="auto"/>
        <w:ind w:firstLine="540"/>
        <w:jc w:val="both"/>
      </w:pPr>
      <w:r>
        <w:rPr>
          <w:sz w:val="20"/>
        </w:rPr>
        <w:t xml:space="preserve">1) рассматриваться информационные справки;</w:t>
      </w:r>
    </w:p>
    <w:p>
      <w:pPr>
        <w:pStyle w:val="0"/>
        <w:spacing w:before="200" w:lineRule="auto"/>
        <w:ind w:firstLine="540"/>
        <w:jc w:val="both"/>
      </w:pPr>
      <w:r>
        <w:rPr>
          <w:sz w:val="20"/>
        </w:rPr>
        <w:t xml:space="preserve">2) проводиться анкетирования членов общественного совета по сути вопроса;</w:t>
      </w:r>
    </w:p>
    <w:p>
      <w:pPr>
        <w:pStyle w:val="0"/>
        <w:spacing w:before="200" w:lineRule="auto"/>
        <w:ind w:firstLine="540"/>
        <w:jc w:val="both"/>
      </w:pPr>
      <w:r>
        <w:rPr>
          <w:sz w:val="20"/>
        </w:rPr>
        <w:t xml:space="preserve">3) при недостатке информации приниматься решения о направлении дополнительных запросов;</w:t>
      </w:r>
    </w:p>
    <w:p>
      <w:pPr>
        <w:pStyle w:val="0"/>
        <w:spacing w:before="200" w:lineRule="auto"/>
        <w:ind w:firstLine="540"/>
        <w:jc w:val="both"/>
      </w:pPr>
      <w:r>
        <w:rPr>
          <w:sz w:val="20"/>
        </w:rPr>
        <w:t xml:space="preserve">4) заслушиваться по сути вопроса представители исполнительного органа государственной власти Свердловской области;</w:t>
      </w:r>
    </w:p>
    <w:p>
      <w:pPr>
        <w:pStyle w:val="0"/>
        <w:spacing w:before="200" w:lineRule="auto"/>
        <w:ind w:firstLine="540"/>
        <w:jc w:val="both"/>
      </w:pPr>
      <w:r>
        <w:rPr>
          <w:sz w:val="20"/>
        </w:rPr>
        <w:t xml:space="preserve">5) формироваться общественная оценка и утверждаться протоколом заседания;</w:t>
      </w:r>
    </w:p>
    <w:p>
      <w:pPr>
        <w:pStyle w:val="0"/>
        <w:spacing w:before="200" w:lineRule="auto"/>
        <w:ind w:firstLine="540"/>
        <w:jc w:val="both"/>
      </w:pPr>
      <w:r>
        <w:rPr>
          <w:sz w:val="20"/>
        </w:rPr>
        <w:t xml:space="preserve">6) проводиться рассмотрение планов нормотворческой деятельности разработчика (профильного органа) и планирование участия членов общественного совета в обсуждении проектов правовых актов, включенных в план.</w:t>
      </w:r>
    </w:p>
    <w:p>
      <w:pPr>
        <w:pStyle w:val="0"/>
        <w:spacing w:before="200" w:lineRule="auto"/>
        <w:ind w:firstLine="540"/>
        <w:jc w:val="both"/>
      </w:pPr>
      <w:r>
        <w:rPr>
          <w:sz w:val="20"/>
        </w:rPr>
        <w:t xml:space="preserve">На заседания общественного совета рекомендуется приглашать участников публичных консультаций по проектам нормативных правовых актов, проводимых профильным органом.</w:t>
      </w:r>
    </w:p>
    <w:p>
      <w:pPr>
        <w:pStyle w:val="0"/>
        <w:spacing w:before="200" w:lineRule="auto"/>
        <w:ind w:firstLine="540"/>
        <w:jc w:val="both"/>
      </w:pPr>
      <w:r>
        <w:rPr>
          <w:sz w:val="20"/>
        </w:rPr>
        <w:t xml:space="preserve">36. В общественной оценке рекомендуется отражать выводы об эффективности проведения профильным органом публичных консультаций, включая наличие обоснованности частичного учета либо отклонения предложений, а также о соответствии действий профильного органа требованиям законодательства об ОРВ.</w:t>
      </w:r>
    </w:p>
    <w:p>
      <w:pPr>
        <w:pStyle w:val="0"/>
        <w:spacing w:before="200" w:lineRule="auto"/>
        <w:ind w:firstLine="540"/>
        <w:jc w:val="both"/>
      </w:pPr>
      <w:r>
        <w:rPr>
          <w:sz w:val="20"/>
        </w:rPr>
        <w:t xml:space="preserve">37. Результаты общественной оценки рекомендуется размещать на официальном сайте исполнительного органа государственной власти Свердловской области, в том числе в разделе "Общественный совет", в течение 10 рабочих дней со дня их поступления в исполнительный орган государственной власти Свердловской области.</w:t>
      </w:r>
    </w:p>
    <w:p>
      <w:pPr>
        <w:pStyle w:val="0"/>
        <w:spacing w:before="200" w:lineRule="auto"/>
        <w:ind w:firstLine="540"/>
        <w:jc w:val="both"/>
      </w:pPr>
      <w:r>
        <w:rPr>
          <w:sz w:val="20"/>
        </w:rPr>
        <w:t xml:space="preserve">38. Координационным советом по оценке регулирующего воздействия, могут быть предусмотрены поручения в адрес профильного органа по устранению нарушений, выявленных в ходе общественного контроля.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Минэкономики и терразвития СО от 29.03.2018 N 17</w:t>
            <w:br/>
            <w:t>(ред. от 28.10.2024)</w:t>
            <w:br/>
            <w:t>"Об утверждении Методических рекомендаций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Минэкономики и терразвития СО от 29.03.2018 N 17</w:t>
            <w:br/>
            <w:t>(ред. от 28.10.2024)</w:t>
            <w:br/>
            <w:t>"Об утверждении Методических рекомендаций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346965&amp;dst=100013" TargetMode = "External"/><Relationship Id="rId9" Type="http://schemas.openxmlformats.org/officeDocument/2006/relationships/hyperlink" Target="https://login.consultant.ru/link/?req=doc&amp;base=RLAW071&amp;n=268262&amp;dst=100005" TargetMode = "External"/><Relationship Id="rId10" Type="http://schemas.openxmlformats.org/officeDocument/2006/relationships/hyperlink" Target="https://login.consultant.ru/link/?req=doc&amp;base=RLAW071&amp;n=291869&amp;dst=100005" TargetMode = "External"/><Relationship Id="rId11" Type="http://schemas.openxmlformats.org/officeDocument/2006/relationships/hyperlink" Target="https://login.consultant.ru/link/?req=doc&amp;base=RLAW071&amp;n=287562&amp;dst=100005" TargetMode = "External"/><Relationship Id="rId12" Type="http://schemas.openxmlformats.org/officeDocument/2006/relationships/hyperlink" Target="https://login.consultant.ru/link/?req=doc&amp;base=RLAW071&amp;n=291775&amp;dst=100005" TargetMode = "External"/><Relationship Id="rId13" Type="http://schemas.openxmlformats.org/officeDocument/2006/relationships/hyperlink" Target="https://login.consultant.ru/link/?req=doc&amp;base=RLAW071&amp;n=336613&amp;dst=100005" TargetMode = "External"/><Relationship Id="rId14" Type="http://schemas.openxmlformats.org/officeDocument/2006/relationships/hyperlink" Target="https://login.consultant.ru/link/?req=doc&amp;base=RLAW071&amp;n=389598&amp;dst=100005" TargetMode = "External"/><Relationship Id="rId15" Type="http://schemas.openxmlformats.org/officeDocument/2006/relationships/hyperlink" Target="https://login.consultant.ru/link/?req=doc&amp;base=RLAW071&amp;n=402962" TargetMode = "External"/><Relationship Id="rId16" Type="http://schemas.openxmlformats.org/officeDocument/2006/relationships/hyperlink" Target="https://login.consultant.ru/link/?req=doc&amp;base=RLAW071&amp;n=387333&amp;dst=100224" TargetMode = "External"/><Relationship Id="rId17" Type="http://schemas.openxmlformats.org/officeDocument/2006/relationships/hyperlink" Target="https://login.consultant.ru/link/?req=doc&amp;base=RLAW071&amp;n=389598&amp;dst=100006" TargetMode = "External"/><Relationship Id="rId18" Type="http://schemas.openxmlformats.org/officeDocument/2006/relationships/hyperlink" Target="https://login.consultant.ru/link/?req=doc&amp;base=RLAW071&amp;n=346965&amp;dst=100015" TargetMode = "External"/><Relationship Id="rId19" Type="http://schemas.openxmlformats.org/officeDocument/2006/relationships/hyperlink" Target="https://login.consultant.ru/link/?req=doc&amp;base=RLAW071&amp;n=222432" TargetMode = "External"/><Relationship Id="rId20" Type="http://schemas.openxmlformats.org/officeDocument/2006/relationships/hyperlink" Target="https://login.consultant.ru/link/?req=doc&amp;base=RLAW071&amp;n=336613&amp;dst=100006" TargetMode = "External"/><Relationship Id="rId21" Type="http://schemas.openxmlformats.org/officeDocument/2006/relationships/hyperlink" Target="https://login.consultant.ru/link/?req=doc&amp;base=RLAW071&amp;n=389598&amp;dst=100007" TargetMode = "External"/><Relationship Id="rId22" Type="http://schemas.openxmlformats.org/officeDocument/2006/relationships/hyperlink" Target="www.pravo.gov66.ru" TargetMode = "External"/><Relationship Id="rId23" Type="http://schemas.openxmlformats.org/officeDocument/2006/relationships/hyperlink" Target="https://login.consultant.ru/link/?req=doc&amp;base=RLAW071&amp;n=346965&amp;dst=100015" TargetMode = "External"/><Relationship Id="rId24" Type="http://schemas.openxmlformats.org/officeDocument/2006/relationships/hyperlink" Target="https://login.consultant.ru/link/?req=doc&amp;base=RLAW071&amp;n=346965&amp;dst=100015" TargetMode = "External"/><Relationship Id="rId25" Type="http://schemas.openxmlformats.org/officeDocument/2006/relationships/hyperlink" Target="https://login.consultant.ru/link/?req=doc&amp;base=RLAW071&amp;n=346965&amp;dst=100015" TargetMode = "External"/><Relationship Id="rId26" Type="http://schemas.openxmlformats.org/officeDocument/2006/relationships/hyperlink" Target="https://login.consultant.ru/link/?req=doc&amp;base=RLAW071&amp;n=346965&amp;dst=100015" TargetMode = "External"/><Relationship Id="rId27" Type="http://schemas.openxmlformats.org/officeDocument/2006/relationships/hyperlink" Target="https://login.consultant.ru/link/?req=doc&amp;base=RLAW071&amp;n=336613&amp;dst=100010" TargetMode = "External"/><Relationship Id="rId28" Type="http://schemas.openxmlformats.org/officeDocument/2006/relationships/hyperlink" Target="https://login.consultant.ru/link/?req=doc&amp;base=RLAW071&amp;n=389598&amp;dst=100009" TargetMode = "External"/><Relationship Id="rId29" Type="http://schemas.openxmlformats.org/officeDocument/2006/relationships/hyperlink" Target="https://login.consultant.ru/link/?req=doc&amp;base=RLAW071&amp;n=402962" TargetMode = "External"/><Relationship Id="rId30" Type="http://schemas.openxmlformats.org/officeDocument/2006/relationships/hyperlink" Target="https://login.consultant.ru/link/?req=doc&amp;base=RLAW071&amp;n=387333" TargetMode = "External"/><Relationship Id="rId31" Type="http://schemas.openxmlformats.org/officeDocument/2006/relationships/hyperlink" Target="https://login.consultant.ru/link/?req=doc&amp;base=RLAW071&amp;n=389598&amp;dst=100010" TargetMode = "External"/><Relationship Id="rId32" Type="http://schemas.openxmlformats.org/officeDocument/2006/relationships/hyperlink" Target="https://login.consultant.ru/link/?req=doc&amp;base=RLAW071&amp;n=402962&amp;dst=100101" TargetMode = "External"/><Relationship Id="rId33" Type="http://schemas.openxmlformats.org/officeDocument/2006/relationships/hyperlink" Target="https://login.consultant.ru/link/?req=doc&amp;base=RLAW071&amp;n=387333&amp;dst=100222" TargetMode = "External"/><Relationship Id="rId34" Type="http://schemas.openxmlformats.org/officeDocument/2006/relationships/hyperlink" Target="https://login.consultant.ru/link/?req=doc&amp;base=RLAW071&amp;n=389598&amp;dst=100011" TargetMode = "External"/><Relationship Id="rId35" Type="http://schemas.openxmlformats.org/officeDocument/2006/relationships/hyperlink" Target="https://login.consultant.ru/link/?req=doc&amp;base=RLAW071&amp;n=389598&amp;dst=100014" TargetMode = "External"/><Relationship Id="rId36" Type="http://schemas.openxmlformats.org/officeDocument/2006/relationships/hyperlink" Target="https://login.consultant.ru/link/?req=doc&amp;base=RLAW071&amp;n=387333&amp;dst=100503" TargetMode = "External"/><Relationship Id="rId37" Type="http://schemas.openxmlformats.org/officeDocument/2006/relationships/hyperlink" Target="https://login.consultant.ru/link/?req=doc&amp;base=RLAW071&amp;n=387333&amp;dst=100536" TargetMode = "External"/><Relationship Id="rId38" Type="http://schemas.openxmlformats.org/officeDocument/2006/relationships/hyperlink" Target="https://login.consultant.ru/link/?req=doc&amp;base=RLAW071&amp;n=389598&amp;dst=100013" TargetMode = "External"/><Relationship Id="rId39" Type="http://schemas.openxmlformats.org/officeDocument/2006/relationships/hyperlink" Target="https://login.consultant.ru/link/?req=doc&amp;base=RLAW071&amp;n=389598&amp;dst=100013" TargetMode = "External"/><Relationship Id="rId40" Type="http://schemas.openxmlformats.org/officeDocument/2006/relationships/hyperlink" Target="https://login.consultant.ru/link/?req=doc&amp;base=RLAW071&amp;n=387333&amp;dst=100503" TargetMode = "External"/><Relationship Id="rId41" Type="http://schemas.openxmlformats.org/officeDocument/2006/relationships/hyperlink" Target="https://login.consultant.ru/link/?req=doc&amp;base=RLAW071&amp;n=387333&amp;dst=100456" TargetMode = "External"/><Relationship Id="rId42" Type="http://schemas.openxmlformats.org/officeDocument/2006/relationships/hyperlink" Target="https://login.consultant.ru/link/?req=doc&amp;base=RLAW071&amp;n=389598&amp;dst=100013" TargetMode = "External"/><Relationship Id="rId43" Type="http://schemas.openxmlformats.org/officeDocument/2006/relationships/hyperlink" Target="https://login.consultant.ru/link/?req=doc&amp;base=RLAW071&amp;n=389598&amp;dst=100015" TargetMode = "External"/><Relationship Id="rId44" Type="http://schemas.openxmlformats.org/officeDocument/2006/relationships/hyperlink" Target="https://login.consultant.ru/link/?req=doc&amp;base=RLAW071&amp;n=387333&amp;dst=100504" TargetMode = "External"/><Relationship Id="rId45" Type="http://schemas.openxmlformats.org/officeDocument/2006/relationships/hyperlink" Target="https://login.consultant.ru/link/?req=doc&amp;base=RLAW071&amp;n=387333&amp;dst=100505" TargetMode = "External"/><Relationship Id="rId46" Type="http://schemas.openxmlformats.org/officeDocument/2006/relationships/hyperlink" Target="https://login.consultant.ru/link/?req=doc&amp;base=RLAW071&amp;n=389598&amp;dst=100013" TargetMode = "External"/><Relationship Id="rId47" Type="http://schemas.openxmlformats.org/officeDocument/2006/relationships/hyperlink" Target="https://login.consultant.ru/link/?req=doc&amp;base=RLAW071&amp;n=389598&amp;dst=100016" TargetMode = "External"/><Relationship Id="rId48" Type="http://schemas.openxmlformats.org/officeDocument/2006/relationships/hyperlink" Target="https://login.consultant.ru/link/?req=doc&amp;base=RLAW071&amp;n=402962" TargetMode = "External"/><Relationship Id="rId49" Type="http://schemas.openxmlformats.org/officeDocument/2006/relationships/hyperlink" Target="https://login.consultant.ru/link/?req=doc&amp;base=RLAW071&amp;n=389598&amp;dst=100017" TargetMode = "External"/><Relationship Id="rId50" Type="http://schemas.openxmlformats.org/officeDocument/2006/relationships/hyperlink" Target="https://login.consultant.ru/link/?req=doc&amp;base=RLAW071&amp;n=387333&amp;dst=100297" TargetMode = "External"/><Relationship Id="rId51" Type="http://schemas.openxmlformats.org/officeDocument/2006/relationships/hyperlink" Target="https://login.consultant.ru/link/?req=doc&amp;base=RLAW071&amp;n=389598&amp;dst=100013" TargetMode = "External"/><Relationship Id="rId52" Type="http://schemas.openxmlformats.org/officeDocument/2006/relationships/hyperlink" Target="https://login.consultant.ru/link/?req=doc&amp;base=RLAW071&amp;n=389598&amp;dst=100039" TargetMode = "External"/><Relationship Id="rId53" Type="http://schemas.openxmlformats.org/officeDocument/2006/relationships/hyperlink" Target="https://login.consultant.ru/link/?req=doc&amp;base=RLAW071&amp;n=389598&amp;dst=100013" TargetMode = "External"/><Relationship Id="rId54" Type="http://schemas.openxmlformats.org/officeDocument/2006/relationships/hyperlink" Target="https://login.consultant.ru/link/?req=doc&amp;base=RLAW071&amp;n=389598&amp;dst=100013" TargetMode = "External"/><Relationship Id="rId55" Type="http://schemas.openxmlformats.org/officeDocument/2006/relationships/hyperlink" Target="https://login.consultant.ru/link/?req=doc&amp;base=RLAW071&amp;n=389598&amp;dst=100013" TargetMode = "External"/><Relationship Id="rId56" Type="http://schemas.openxmlformats.org/officeDocument/2006/relationships/hyperlink" Target="https://login.consultant.ru/link/?req=doc&amp;base=RLAW071&amp;n=389598&amp;dst=100040" TargetMode = "External"/><Relationship Id="rId57" Type="http://schemas.openxmlformats.org/officeDocument/2006/relationships/hyperlink" Target="https://login.consultant.ru/link/?req=doc&amp;base=RLAW071&amp;n=389598&amp;dst=100041" TargetMode = "External"/><Relationship Id="rId58" Type="http://schemas.openxmlformats.org/officeDocument/2006/relationships/hyperlink" Target="https://login.consultant.ru/link/?req=doc&amp;base=RLAW071&amp;n=389598&amp;dst=100042" TargetMode = "External"/><Relationship Id="rId59" Type="http://schemas.openxmlformats.org/officeDocument/2006/relationships/hyperlink" Target="https://login.consultant.ru/link/?req=doc&amp;base=RLAW071&amp;n=389598&amp;dst=100044" TargetMode = "External"/><Relationship Id="rId60" Type="http://schemas.openxmlformats.org/officeDocument/2006/relationships/hyperlink" Target="https://login.consultant.ru/link/?req=doc&amp;base=RLAW071&amp;n=389598&amp;dst=100044" TargetMode = "External"/><Relationship Id="rId61" Type="http://schemas.openxmlformats.org/officeDocument/2006/relationships/image" Target="media/image2.wmf"/><Relationship Id="rId62" Type="http://schemas.openxmlformats.org/officeDocument/2006/relationships/hyperlink" Target="https://login.consultant.ru/link/?req=doc&amp;base=LAW&amp;n=518477&amp;dst=104526" TargetMode = "External"/><Relationship Id="rId63" Type="http://schemas.openxmlformats.org/officeDocument/2006/relationships/image" Target="media/image3.wmf"/><Relationship Id="rId64" Type="http://schemas.openxmlformats.org/officeDocument/2006/relationships/image" Target="media/image4.wmf"/><Relationship Id="rId65" Type="http://schemas.openxmlformats.org/officeDocument/2006/relationships/image" Target="media/image5.wmf"/><Relationship Id="rId66" Type="http://schemas.openxmlformats.org/officeDocument/2006/relationships/image" Target="media/image6.wmf"/><Relationship Id="rId67" Type="http://schemas.openxmlformats.org/officeDocument/2006/relationships/image" Target="media/image7.wmf"/><Relationship Id="rId68" Type="http://schemas.openxmlformats.org/officeDocument/2006/relationships/image" Target="media/image8.wmf"/><Relationship Id="rId69" Type="http://schemas.openxmlformats.org/officeDocument/2006/relationships/image" Target="media/image9.wmf"/><Relationship Id="rId70" Type="http://schemas.openxmlformats.org/officeDocument/2006/relationships/image" Target="media/image10.wmf"/><Relationship Id="rId71" Type="http://schemas.openxmlformats.org/officeDocument/2006/relationships/image" Target="media/image11.wmf"/><Relationship Id="rId72" Type="http://schemas.openxmlformats.org/officeDocument/2006/relationships/hyperlink" Target="https://login.consultant.ru/link/?req=doc&amp;base=RLAW071&amp;n=336613&amp;dst=100008" TargetMode = "External"/><Relationship Id="rId73" Type="http://schemas.openxmlformats.org/officeDocument/2006/relationships/hyperlink" Target="https://login.consultant.ru/link/?req=doc&amp;base=RLAW071&amp;n=336613&amp;dst=100008" TargetMode = "External"/><Relationship Id="rId74" Type="http://schemas.openxmlformats.org/officeDocument/2006/relationships/header" Target="header2.xml"/><Relationship Id="rId75" Type="http://schemas.openxmlformats.org/officeDocument/2006/relationships/footer" Target="footer2.xml"/><Relationship Id="rId76" Type="http://schemas.openxmlformats.org/officeDocument/2006/relationships/hyperlink" Target="https://login.consultant.ru/link/?req=doc&amp;base=RLAW071&amp;n=336613&amp;dst=100009" TargetMode = "External"/><Relationship Id="rId77" Type="http://schemas.openxmlformats.org/officeDocument/2006/relationships/hyperlink" Target="https://login.consultant.ru/link/?req=doc&amp;base=RLAW071&amp;n=336613&amp;dst=100012" TargetMode = "External"/><Relationship Id="rId78" Type="http://schemas.openxmlformats.org/officeDocument/2006/relationships/hyperlink" Target="https://login.consultant.ru/link/?req=doc&amp;base=RLAW071&amp;n=389598&amp;dst=100045" TargetMode = "External"/><Relationship Id="rId79" Type="http://schemas.openxmlformats.org/officeDocument/2006/relationships/hyperlink" Target="https://login.consultant.ru/link/?req=doc&amp;base=RLAW071&amp;n=402962&amp;dst=100116" TargetMode = "External"/><Relationship Id="rId80" Type="http://schemas.openxmlformats.org/officeDocument/2006/relationships/hyperlink" Target="https://login.consultant.ru/link/?req=doc&amp;base=RLAW071&amp;n=387333" TargetMode = "External"/><Relationship Id="rId81" Type="http://schemas.openxmlformats.org/officeDocument/2006/relationships/hyperlink" Target="https://login.consultant.ru/link/?req=doc&amp;base=RLAW071&amp;n=389598&amp;dst=100046" TargetMode = "External"/><Relationship Id="rId82" Type="http://schemas.openxmlformats.org/officeDocument/2006/relationships/hyperlink" Target="https://login.consultant.ru/link/?req=doc&amp;base=RLAW071&amp;n=402962&amp;dst=100334" TargetMode = "External"/><Relationship Id="rId83" Type="http://schemas.openxmlformats.org/officeDocument/2006/relationships/hyperlink" Target="https://login.consultant.ru/link/?req=doc&amp;base=RLAW071&amp;n=387333&amp;dst=100562" TargetMode = "External"/><Relationship Id="rId84" Type="http://schemas.openxmlformats.org/officeDocument/2006/relationships/hyperlink" Target="https://login.consultant.ru/link/?req=doc&amp;base=RLAW071&amp;n=389598&amp;dst=100047" TargetMode = "External"/><Relationship Id="rId85" Type="http://schemas.openxmlformats.org/officeDocument/2006/relationships/hyperlink" Target="https://login.consultant.ru/link/?req=doc&amp;base=RLAW071&amp;n=387333&amp;dst=100300" TargetMode = "External"/><Relationship Id="rId86" Type="http://schemas.openxmlformats.org/officeDocument/2006/relationships/hyperlink" Target="https://login.consultant.ru/link/?req=doc&amp;base=RLAW071&amp;n=389598&amp;dst=100049" TargetMode = "External"/><Relationship Id="rId87" Type="http://schemas.openxmlformats.org/officeDocument/2006/relationships/hyperlink" Target="https://login.consultant.ru/link/?req=doc&amp;base=RLAW071&amp;n=387333&amp;dst=100309" TargetMode = "External"/><Relationship Id="rId88" Type="http://schemas.openxmlformats.org/officeDocument/2006/relationships/hyperlink" Target="https://login.consultant.ru/link/?req=doc&amp;base=RLAW071&amp;n=389598&amp;dst=100049" TargetMode = "External"/><Relationship Id="rId89" Type="http://schemas.openxmlformats.org/officeDocument/2006/relationships/hyperlink" Target="https://login.consultant.ru/link/?req=doc&amp;base=RLAW071&amp;n=389598&amp;dst=100050" TargetMode = "External"/><Relationship Id="rId90" Type="http://schemas.openxmlformats.org/officeDocument/2006/relationships/hyperlink" Target="https://login.consultant.ru/link/?req=doc&amp;base=RLAW071&amp;n=387333&amp;dst=100476" TargetMode = "External"/><Relationship Id="rId91" Type="http://schemas.openxmlformats.org/officeDocument/2006/relationships/hyperlink" Target="https://login.consultant.ru/link/?req=doc&amp;base=RLAW071&amp;n=389598&amp;dst=100049" TargetMode = "External"/><Relationship Id="rId92" Type="http://schemas.openxmlformats.org/officeDocument/2006/relationships/hyperlink" Target="https://login.consultant.ru/link/?req=doc&amp;base=RLAW071&amp;n=389598&amp;dst=100051" TargetMode = "External"/><Relationship Id="rId93" Type="http://schemas.openxmlformats.org/officeDocument/2006/relationships/hyperlink" Target="https://login.consultant.ru/link/?req=doc&amp;base=RLAW071&amp;n=389598&amp;dst=100053"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Минэкономики и терразвития СО от 29.03.2018 N 17
(ред. от 28.10.2024)
"Об утверждении Методических рекомендаций по составлению уведомления о проведении публичных консультаций и заключения о проведении оценки регулирующего воздействия, Методики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а также Методических рекомендаций по проведению публичных консультаций"</dc:title>
  <dcterms:created xsi:type="dcterms:W3CDTF">2026-03-12T03:22:58Z</dcterms:created>
</cp:coreProperties>
</file>