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66F" w:rsidRDefault="00EB59A6">
      <w:pPr>
        <w:spacing w:after="0" w:line="232" w:lineRule="auto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b/>
          <w:sz w:val="28"/>
          <w:szCs w:val="28"/>
        </w:rPr>
        <w:t>Информационные материалы</w:t>
      </w:r>
    </w:p>
    <w:p w:rsidR="0066166F" w:rsidRDefault="00EB59A6">
      <w:pPr>
        <w:spacing w:after="0" w:line="232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раздельном накоплении твердых коммунальных отходов</w:t>
      </w:r>
    </w:p>
    <w:p w:rsidR="0066166F" w:rsidRDefault="0066166F">
      <w:pPr>
        <w:spacing w:after="0" w:line="232" w:lineRule="auto"/>
        <w:jc w:val="center"/>
        <w:rPr>
          <w:rFonts w:ascii="Liberation Serif" w:hAnsi="Liberation Serif"/>
          <w:sz w:val="28"/>
          <w:szCs w:val="28"/>
        </w:rPr>
      </w:pPr>
    </w:p>
    <w:p w:rsidR="0066166F" w:rsidRDefault="00EB59A6">
      <w:pPr>
        <w:spacing w:after="0" w:line="232" w:lineRule="auto"/>
        <w:ind w:firstLine="708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Нормативные документы: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 Федеральный закон от 24.06.1998 № 89-ФЗ (ред. от 04.08.2023) «Об отходах </w:t>
      </w:r>
      <w:r>
        <w:rPr>
          <w:rFonts w:ascii="Liberation Serif" w:hAnsi="Liberation Serif"/>
          <w:sz w:val="28"/>
          <w:szCs w:val="28"/>
        </w:rPr>
        <w:t>производства и потребления»;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постановление Правительства Российской Федерации от 12.11.2016 № 1156 «Об обращении с твердыми коммунальными отходами и внесении изменения в постановление Правительства Российской Федерации от 25 августа 2008 г. № 641» (вмест</w:t>
      </w:r>
      <w:r>
        <w:rPr>
          <w:rFonts w:ascii="Liberation Serif" w:hAnsi="Liberation Serif"/>
          <w:sz w:val="28"/>
          <w:szCs w:val="28"/>
        </w:rPr>
        <w:t>е с «Правилами обращения с твердыми коммунальными отходами»)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– постановление Правительства Свердловской области от 26.12.2018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 969-ПП (ред. от 12.01.2023) «Об утверждении Порядка накопления твердых коммунальных отходов (в том числе их раздельного накопле</w:t>
      </w:r>
      <w:r>
        <w:rPr>
          <w:rFonts w:ascii="Liberation Serif" w:hAnsi="Liberation Serif"/>
          <w:sz w:val="28"/>
          <w:szCs w:val="28"/>
        </w:rPr>
        <w:t>ния) на территории Свердловской области»</w:t>
      </w:r>
    </w:p>
    <w:p w:rsidR="0066166F" w:rsidRDefault="0066166F">
      <w:pPr>
        <w:pStyle w:val="a3"/>
        <w:spacing w:after="0" w:line="232" w:lineRule="auto"/>
        <w:rPr>
          <w:rFonts w:ascii="Liberation Serif" w:hAnsi="Liberation Serif"/>
          <w:sz w:val="28"/>
          <w:szCs w:val="28"/>
        </w:rPr>
      </w:pP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Планы мероприятий (дорожные карты) о введении раздельного накопления твердых коммунальных отходов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план мероприятий («дорожная карта») по введению раздельного накопления и сбора твердых коммунальных отходов, утвер</w:t>
      </w:r>
      <w:r>
        <w:rPr>
          <w:rFonts w:ascii="Liberation Serif" w:hAnsi="Liberation Serif"/>
          <w:sz w:val="28"/>
          <w:szCs w:val="28"/>
        </w:rPr>
        <w:t>жденный Заместителем Председателя Правительства Российской Федерации В.А. </w:t>
      </w:r>
      <w:proofErr w:type="spellStart"/>
      <w:r>
        <w:rPr>
          <w:rFonts w:ascii="Liberation Serif" w:hAnsi="Liberation Serif"/>
          <w:sz w:val="28"/>
          <w:szCs w:val="28"/>
        </w:rPr>
        <w:t>Абрамченко</w:t>
      </w:r>
      <w:proofErr w:type="spellEnd"/>
      <w:r>
        <w:rPr>
          <w:rFonts w:ascii="Liberation Serif" w:hAnsi="Liberation Serif"/>
          <w:sz w:val="28"/>
          <w:szCs w:val="28"/>
        </w:rPr>
        <w:t xml:space="preserve"> от 01.06.2020 № 4586п-П11;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– план мероприятий («дорожная карта») по введению раздельного накопления твердых коммунальных отходов, утвержденный Заместителем Губернатора Све</w:t>
      </w:r>
      <w:r>
        <w:rPr>
          <w:rFonts w:ascii="Liberation Serif" w:hAnsi="Liberation Serif"/>
          <w:sz w:val="28"/>
          <w:szCs w:val="28"/>
        </w:rPr>
        <w:t xml:space="preserve">рдловской области С.В. </w:t>
      </w:r>
      <w:proofErr w:type="spellStart"/>
      <w:r>
        <w:rPr>
          <w:rFonts w:ascii="Liberation Serif" w:hAnsi="Liberation Serif"/>
          <w:sz w:val="28"/>
          <w:szCs w:val="28"/>
        </w:rPr>
        <w:t>Швиндтом</w:t>
      </w:r>
      <w:proofErr w:type="spellEnd"/>
      <w:r>
        <w:rPr>
          <w:rFonts w:ascii="Liberation Serif" w:hAnsi="Liberation Serif"/>
          <w:sz w:val="28"/>
          <w:szCs w:val="28"/>
        </w:rPr>
        <w:t xml:space="preserve"> 22.06.2020 № 01-01-39/109, в новой редакции 12.08.2022 № 01-01-41/77;</w:t>
      </w:r>
    </w:p>
    <w:p w:rsidR="0066166F" w:rsidRDefault="0066166F">
      <w:pPr>
        <w:spacing w:after="0" w:line="232" w:lineRule="auto"/>
        <w:jc w:val="both"/>
        <w:rPr>
          <w:rFonts w:ascii="Liberation Serif" w:hAnsi="Liberation Serif"/>
          <w:sz w:val="28"/>
          <w:szCs w:val="28"/>
        </w:rPr>
      </w:pP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>Твердые коммунальные отходы (ТКО)</w:t>
      </w:r>
      <w:r>
        <w:rPr>
          <w:rFonts w:ascii="Liberation Serif" w:hAnsi="Liberation Serif"/>
          <w:sz w:val="28"/>
          <w:szCs w:val="28"/>
        </w:rPr>
        <w:t xml:space="preserve"> – отходы, образующиеся в жилых помещениях в процессе потребления физическими лицами, а также товары, утратившие свои по</w:t>
      </w:r>
      <w:r>
        <w:rPr>
          <w:rFonts w:ascii="Liberation Serif" w:hAnsi="Liberation Serif"/>
          <w:sz w:val="28"/>
          <w:szCs w:val="28"/>
        </w:rPr>
        <w:t>требительские свойства в процессе их использования физическими лицами в жилых помещениях в целях удовлетворения личных и бытовых нужд. К твердым коммунальным отходам также относятся отходы, образующиеся в процессе деятельности юридических лиц, индивидуальн</w:t>
      </w:r>
      <w:r>
        <w:rPr>
          <w:rFonts w:ascii="Liberation Serif" w:hAnsi="Liberation Serif"/>
          <w:sz w:val="28"/>
          <w:szCs w:val="28"/>
        </w:rPr>
        <w:t>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66166F" w:rsidRDefault="0066166F">
      <w:pPr>
        <w:spacing w:after="0" w:line="232" w:lineRule="auto"/>
        <w:jc w:val="both"/>
        <w:rPr>
          <w:rFonts w:ascii="Liberation Serif" w:hAnsi="Liberation Serif"/>
          <w:sz w:val="28"/>
          <w:szCs w:val="28"/>
        </w:rPr>
      </w:pP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>Крупногабаритные отходы (КГО)</w:t>
      </w:r>
      <w:r>
        <w:rPr>
          <w:rFonts w:ascii="Liberation Serif" w:hAnsi="Liberation Serif"/>
          <w:sz w:val="28"/>
          <w:szCs w:val="28"/>
        </w:rPr>
        <w:t xml:space="preserve"> – твердые коммунальные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контейнерах;</w:t>
      </w:r>
    </w:p>
    <w:p w:rsidR="0066166F" w:rsidRDefault="0066166F">
      <w:pPr>
        <w:spacing w:after="0" w:line="232" w:lineRule="auto"/>
        <w:jc w:val="both"/>
        <w:rPr>
          <w:rFonts w:ascii="Liberation Serif" w:hAnsi="Liberation Serif"/>
          <w:sz w:val="28"/>
          <w:szCs w:val="28"/>
        </w:rPr>
      </w:pP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 xml:space="preserve">Раздельное накопление ТКО </w:t>
      </w:r>
      <w:r>
        <w:rPr>
          <w:rFonts w:ascii="Liberation Serif" w:hAnsi="Liberation Serif"/>
          <w:sz w:val="28"/>
          <w:szCs w:val="28"/>
        </w:rPr>
        <w:t xml:space="preserve">– раздельное складирование ТКО по видам отходов, </w:t>
      </w:r>
      <w:r>
        <w:rPr>
          <w:rFonts w:ascii="Liberation Serif" w:hAnsi="Liberation Serif"/>
          <w:sz w:val="28"/>
          <w:szCs w:val="28"/>
        </w:rPr>
        <w:t>группам отходов, группам однородных отходов (раздельное накопление);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Раздельное накопление ТКО может осуществляться одним из следующих способов:</w:t>
      </w: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lastRenderedPageBreak/>
        <w:t>1. Дуальная система</w:t>
      </w:r>
      <w:r>
        <w:rPr>
          <w:rFonts w:ascii="Liberation Serif" w:hAnsi="Liberation Serif"/>
          <w:sz w:val="28"/>
          <w:szCs w:val="28"/>
        </w:rPr>
        <w:t xml:space="preserve"> раздельного накопления ТКО – система раздельного накопления ТКО, при которой раздельное нак</w:t>
      </w:r>
      <w:r>
        <w:rPr>
          <w:rFonts w:ascii="Liberation Serif" w:hAnsi="Liberation Serif"/>
          <w:sz w:val="28"/>
          <w:szCs w:val="28"/>
        </w:rPr>
        <w:t>опление ТКО на контейнерных площадках, расположенных на территории, осуществляется дуальным способом.</w:t>
      </w: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>Дуальный способ</w:t>
      </w:r>
      <w:r>
        <w:rPr>
          <w:rFonts w:ascii="Liberation Serif" w:hAnsi="Liberation Serif"/>
          <w:sz w:val="28"/>
          <w:szCs w:val="28"/>
        </w:rPr>
        <w:t xml:space="preserve"> – способ раздельного накопления ТКО, при котором ТКО разделяются на две части:</w:t>
      </w:r>
    </w:p>
    <w:p w:rsidR="0066166F" w:rsidRDefault="00EB59A6">
      <w:pPr>
        <w:spacing w:after="0" w:line="232" w:lineRule="auto"/>
        <w:ind w:firstLine="708"/>
        <w:jc w:val="both"/>
      </w:pPr>
      <w:proofErr w:type="gramStart"/>
      <w:r>
        <w:rPr>
          <w:rFonts w:ascii="Liberation Serif" w:hAnsi="Liberation Serif"/>
          <w:b/>
          <w:sz w:val="28"/>
          <w:szCs w:val="28"/>
        </w:rPr>
        <w:t>сортируемые (перерабатываемые, сухие)</w:t>
      </w:r>
      <w:r>
        <w:rPr>
          <w:rFonts w:ascii="Liberation Serif" w:hAnsi="Liberation Serif"/>
          <w:sz w:val="28"/>
          <w:szCs w:val="28"/>
        </w:rPr>
        <w:t xml:space="preserve"> отходы – подлежащие </w:t>
      </w:r>
      <w:r>
        <w:rPr>
          <w:rFonts w:ascii="Liberation Serif" w:hAnsi="Liberation Serif"/>
          <w:sz w:val="28"/>
          <w:szCs w:val="28"/>
        </w:rPr>
        <w:t>утилизации фракции, не загрязненные органическими (пищевыми) отходами (бумага, картон, пластик, полиэтилен, металл, стекло, текстиль, не загрязненных органическими (пищевыми) отходами)</w:t>
      </w:r>
      <w:proofErr w:type="gramEnd"/>
    </w:p>
    <w:p w:rsidR="0066166F" w:rsidRDefault="00EB59A6">
      <w:pPr>
        <w:spacing w:after="0" w:line="232" w:lineRule="auto"/>
        <w:ind w:firstLine="708"/>
        <w:jc w:val="both"/>
      </w:pPr>
      <w:proofErr w:type="spellStart"/>
      <w:r>
        <w:rPr>
          <w:rFonts w:ascii="Liberation Serif" w:hAnsi="Liberation Serif"/>
          <w:b/>
          <w:sz w:val="28"/>
          <w:szCs w:val="28"/>
        </w:rPr>
        <w:t>несортируемые</w:t>
      </w:r>
      <w:proofErr w:type="spellEnd"/>
      <w:r>
        <w:rPr>
          <w:rFonts w:ascii="Liberation Serif" w:hAnsi="Liberation Serif"/>
          <w:b/>
          <w:sz w:val="28"/>
          <w:szCs w:val="28"/>
        </w:rPr>
        <w:t xml:space="preserve"> (смешанные, </w:t>
      </w:r>
      <w:proofErr w:type="spellStart"/>
      <w:r>
        <w:rPr>
          <w:rFonts w:ascii="Liberation Serif" w:hAnsi="Liberation Serif"/>
          <w:b/>
          <w:sz w:val="28"/>
          <w:szCs w:val="28"/>
        </w:rPr>
        <w:t>неперерабатываемые</w:t>
      </w:r>
      <w:proofErr w:type="spellEnd"/>
      <w:r>
        <w:rPr>
          <w:rFonts w:ascii="Liberation Serif" w:hAnsi="Liberation Serif"/>
          <w:b/>
          <w:sz w:val="28"/>
          <w:szCs w:val="28"/>
        </w:rPr>
        <w:t>, мокрые)</w:t>
      </w:r>
      <w:r>
        <w:rPr>
          <w:rFonts w:ascii="Liberation Serif" w:hAnsi="Liberation Serif"/>
          <w:sz w:val="28"/>
          <w:szCs w:val="28"/>
        </w:rPr>
        <w:t xml:space="preserve"> – не подлежащие у</w:t>
      </w:r>
      <w:r>
        <w:rPr>
          <w:rFonts w:ascii="Liberation Serif" w:hAnsi="Liberation Serif"/>
          <w:sz w:val="28"/>
          <w:szCs w:val="28"/>
        </w:rPr>
        <w:t>тилизации фракции, в том числе загрязненные органическими (пищевыми) отходами и органические (пищевые) отходы, складируемые в смеси с другими фракциями (пищевые отходы, загрязненная упаковка от пищевых продуктов, средства личной гигиены, др.);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При дуальном</w:t>
      </w:r>
      <w:r>
        <w:rPr>
          <w:rFonts w:ascii="Liberation Serif" w:hAnsi="Liberation Serif"/>
          <w:sz w:val="28"/>
          <w:szCs w:val="28"/>
        </w:rPr>
        <w:t xml:space="preserve"> способе раздельного накопления ТКО на контейнерной площадке установлены контейнеры одного типа (обычно пластиковые евро-контейнеры) одного или двух цветов с соответствующей маркировкой: «сортируемые»/«смешанные»/«</w:t>
      </w:r>
      <w:proofErr w:type="spellStart"/>
      <w:r>
        <w:rPr>
          <w:rFonts w:ascii="Liberation Serif" w:hAnsi="Liberation Serif"/>
          <w:sz w:val="28"/>
          <w:szCs w:val="28"/>
        </w:rPr>
        <w:t>неперерабатываемые</w:t>
      </w:r>
      <w:proofErr w:type="spellEnd"/>
      <w:r>
        <w:rPr>
          <w:rFonts w:ascii="Liberation Serif" w:hAnsi="Liberation Serif"/>
          <w:sz w:val="28"/>
          <w:szCs w:val="28"/>
        </w:rPr>
        <w:t>»/«мокрые» – «сортируемы</w:t>
      </w:r>
      <w:r>
        <w:rPr>
          <w:rFonts w:ascii="Liberation Serif" w:hAnsi="Liberation Serif"/>
          <w:sz w:val="28"/>
          <w:szCs w:val="28"/>
        </w:rPr>
        <w:t>е»/ /«перерабатываемые»/«сухие»).</w:t>
      </w:r>
      <w:proofErr w:type="gramEnd"/>
      <w:r>
        <w:rPr>
          <w:rFonts w:ascii="Liberation Serif" w:hAnsi="Liberation Serif"/>
          <w:sz w:val="28"/>
          <w:szCs w:val="28"/>
        </w:rPr>
        <w:t xml:space="preserve"> Также маркировка может сопровождаться символическим изображением размещаемых отходов (изображение бутылки, </w:t>
      </w:r>
      <w:proofErr w:type="spellStart"/>
      <w:r>
        <w:rPr>
          <w:rFonts w:ascii="Liberation Serif" w:hAnsi="Liberation Serif"/>
          <w:sz w:val="28"/>
          <w:szCs w:val="28"/>
        </w:rPr>
        <w:t>банкиа</w:t>
      </w:r>
      <w:proofErr w:type="spellEnd"/>
      <w:r>
        <w:rPr>
          <w:rFonts w:ascii="Liberation Serif" w:hAnsi="Liberation Serif"/>
          <w:sz w:val="28"/>
          <w:szCs w:val="28"/>
        </w:rPr>
        <w:t>) или словесным описанием (стекло, пластик, бумага и др.).</w:t>
      </w: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>2. Фракционная система</w:t>
      </w:r>
      <w:r>
        <w:rPr>
          <w:rFonts w:ascii="Liberation Serif" w:hAnsi="Liberation Serif"/>
          <w:sz w:val="28"/>
          <w:szCs w:val="28"/>
        </w:rPr>
        <w:t xml:space="preserve"> раздельного накопления ТКО </w:t>
      </w:r>
      <w:r>
        <w:rPr>
          <w:rFonts w:ascii="Liberation Serif" w:hAnsi="Liberation Serif"/>
          <w:sz w:val="28"/>
          <w:szCs w:val="28"/>
        </w:rPr>
        <w:t>– система раздельного накопления ТКО, при которой раздельное накопление ТКО на контейнерных площадках, расположенных на территории, осуществляется фракционным способом.</w:t>
      </w: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>Фракционный способ</w:t>
      </w:r>
      <w:r>
        <w:rPr>
          <w:rFonts w:ascii="Liberation Serif" w:hAnsi="Liberation Serif"/>
          <w:sz w:val="28"/>
          <w:szCs w:val="28"/>
        </w:rPr>
        <w:t xml:space="preserve"> – способ раздельного накопления ТКО, при котором из ТКО выделяется о</w:t>
      </w:r>
      <w:r>
        <w:rPr>
          <w:rFonts w:ascii="Liberation Serif" w:hAnsi="Liberation Serif"/>
          <w:sz w:val="28"/>
          <w:szCs w:val="28"/>
        </w:rPr>
        <w:t>дна и более фракций, не загрязненных органическими (пищевыми) отходами.</w:t>
      </w: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>Фракция</w:t>
      </w:r>
      <w:r>
        <w:rPr>
          <w:rFonts w:ascii="Liberation Serif" w:hAnsi="Liberation Serif"/>
          <w:sz w:val="28"/>
          <w:szCs w:val="28"/>
        </w:rPr>
        <w:t xml:space="preserve"> – составная часть ТКО, представляющая собой виды отходов, группы отходов или группы однородных отходов, которые или компоненты которых могут быть повторно использованы, отличаю</w:t>
      </w:r>
      <w:r>
        <w:rPr>
          <w:rFonts w:ascii="Liberation Serif" w:hAnsi="Liberation Serif"/>
          <w:sz w:val="28"/>
          <w:szCs w:val="28"/>
        </w:rPr>
        <w:t>щаяся от других частей ТКО по происхождению, химическому составу и свойствам (например, пластик).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 фракционном способе раздельного накопления ТКО </w:t>
      </w:r>
      <w:proofErr w:type="gramStart"/>
      <w:r>
        <w:rPr>
          <w:rFonts w:ascii="Liberation Serif" w:hAnsi="Liberation Serif"/>
          <w:sz w:val="28"/>
          <w:szCs w:val="28"/>
        </w:rPr>
        <w:t>на</w:t>
      </w:r>
      <w:proofErr w:type="gramEnd"/>
      <w:r>
        <w:rPr>
          <w:rFonts w:ascii="Liberation Serif" w:hAnsi="Liberation Serif"/>
          <w:sz w:val="28"/>
          <w:szCs w:val="28"/>
        </w:rPr>
        <w:t xml:space="preserve"> контейнерной могут быть установлены: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контейнеры одного типа (обычно пластиковые евро-контейнеры) одного </w:t>
      </w:r>
      <w:r>
        <w:rPr>
          <w:rFonts w:ascii="Liberation Serif" w:hAnsi="Liberation Serif"/>
          <w:sz w:val="28"/>
          <w:szCs w:val="28"/>
        </w:rPr>
        <w:t>или нескольких цветов (по количеству собираемых фракций).</w:t>
      </w:r>
    </w:p>
    <w:p w:rsidR="0066166F" w:rsidRDefault="00EB59A6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контейнеры разного типа (пластиковые и сетчатые контейнеры). Контейнеры для накопления отдельных фракций сопровождаются маркировкой в виде наклеек или надписей, позволяющих определить принадлежност</w:t>
      </w:r>
      <w:r>
        <w:rPr>
          <w:rFonts w:ascii="Liberation Serif" w:hAnsi="Liberation Serif"/>
          <w:sz w:val="28"/>
          <w:szCs w:val="28"/>
        </w:rPr>
        <w:t>ь к собираемой фракции (например, изображение бутылки и надпись пластик).</w:t>
      </w:r>
    </w:p>
    <w:p w:rsidR="0066166F" w:rsidRDefault="0066166F">
      <w:pPr>
        <w:spacing w:after="0" w:line="232" w:lineRule="auto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66166F" w:rsidRDefault="00EB59A6">
      <w:pPr>
        <w:spacing w:after="0" w:line="232" w:lineRule="auto"/>
        <w:ind w:firstLine="708"/>
        <w:jc w:val="both"/>
      </w:pPr>
      <w:r>
        <w:rPr>
          <w:rFonts w:ascii="Liberation Serif" w:hAnsi="Liberation Serif"/>
          <w:b/>
          <w:sz w:val="28"/>
          <w:szCs w:val="28"/>
        </w:rPr>
        <w:t>Накопление крупногабаритных отходов (КГО)</w:t>
      </w:r>
      <w:r>
        <w:rPr>
          <w:rFonts w:ascii="Liberation Serif" w:hAnsi="Liberation Serif"/>
          <w:sz w:val="28"/>
          <w:szCs w:val="28"/>
        </w:rPr>
        <w:t xml:space="preserve"> на специальных площадках или в специальных отсеках на контейнерных площадках </w:t>
      </w:r>
      <w:r>
        <w:rPr>
          <w:rFonts w:ascii="Liberation Serif" w:hAnsi="Liberation Serif"/>
          <w:b/>
          <w:sz w:val="28"/>
          <w:szCs w:val="28"/>
        </w:rPr>
        <w:t>не является раздельным накоплением</w:t>
      </w:r>
      <w:r>
        <w:rPr>
          <w:rFonts w:ascii="Liberation Serif" w:hAnsi="Liberation Serif"/>
          <w:b/>
          <w:sz w:val="28"/>
          <w:szCs w:val="28"/>
        </w:rPr>
        <w:t xml:space="preserve"> ТКО.</w:t>
      </w:r>
    </w:p>
    <w:sectPr w:rsidR="0066166F">
      <w:pgSz w:w="11906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B59A6">
      <w:pPr>
        <w:spacing w:after="0" w:line="240" w:lineRule="auto"/>
      </w:pPr>
      <w:r>
        <w:separator/>
      </w:r>
    </w:p>
  </w:endnote>
  <w:endnote w:type="continuationSeparator" w:id="0">
    <w:p w:rsidR="00000000" w:rsidRDefault="00EB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B59A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EB59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6166F"/>
    <w:rsid w:val="0066166F"/>
    <w:rsid w:val="00EB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List Paragraph"/>
    <w:basedOn w:val="a"/>
    <w:pPr>
      <w:ind w:left="720"/>
    </w:p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Normal (Web)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annotation text"/>
    <w:basedOn w:val="a"/>
    <w:pPr>
      <w:spacing w:line="240" w:lineRule="auto"/>
    </w:pPr>
    <w:rPr>
      <w:sz w:val="20"/>
      <w:szCs w:val="20"/>
    </w:rPr>
  </w:style>
  <w:style w:type="paragraph" w:styleId="a7">
    <w:name w:val="annotation subject"/>
    <w:basedOn w:val="a6"/>
    <w:next w:val="a6"/>
    <w:rPr>
      <w:b/>
      <w:bCs/>
    </w:rPr>
  </w:style>
  <w:style w:type="paragraph" w:styleId="a8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faultdocbaseattributestylewithoutnowrap1">
    <w:name w:val="defaultdocbaseattributestylewithoutnowrap1"/>
    <w:rPr>
      <w:rFonts w:ascii="Tahoma" w:hAnsi="Tahoma" w:cs="Tahoma"/>
      <w:sz w:val="18"/>
      <w:szCs w:val="18"/>
    </w:rPr>
  </w:style>
  <w:style w:type="character" w:styleId="a9">
    <w:name w:val="Strong"/>
    <w:basedOn w:val="a0"/>
    <w:rPr>
      <w:b/>
      <w:bCs/>
    </w:rPr>
  </w:style>
  <w:style w:type="character" w:styleId="aa">
    <w:name w:val="Hyperlink"/>
    <w:basedOn w:val="a0"/>
    <w:rPr>
      <w:color w:val="0000FF"/>
      <w:u w:val="single"/>
    </w:rPr>
  </w:style>
  <w:style w:type="character" w:styleId="ab">
    <w:name w:val="annotation reference"/>
    <w:basedOn w:val="a0"/>
    <w:rPr>
      <w:sz w:val="16"/>
      <w:szCs w:val="16"/>
    </w:rPr>
  </w:style>
  <w:style w:type="character" w:customStyle="1" w:styleId="ac">
    <w:name w:val="Текст примечания Знак"/>
    <w:basedOn w:val="a0"/>
    <w:rPr>
      <w:sz w:val="20"/>
      <w:szCs w:val="20"/>
    </w:rPr>
  </w:style>
  <w:style w:type="character" w:customStyle="1" w:styleId="ad">
    <w:name w:val="Тема примечания Знак"/>
    <w:basedOn w:val="ac"/>
    <w:rPr>
      <w:b/>
      <w:bCs/>
      <w:sz w:val="20"/>
      <w:szCs w:val="20"/>
    </w:rPr>
  </w:style>
  <w:style w:type="character" w:customStyle="1" w:styleId="ae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List Paragraph"/>
    <w:basedOn w:val="a"/>
    <w:pPr>
      <w:ind w:left="720"/>
    </w:p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Normal (Web)"/>
    <w:basedOn w:val="a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annotation text"/>
    <w:basedOn w:val="a"/>
    <w:pPr>
      <w:spacing w:line="240" w:lineRule="auto"/>
    </w:pPr>
    <w:rPr>
      <w:sz w:val="20"/>
      <w:szCs w:val="20"/>
    </w:rPr>
  </w:style>
  <w:style w:type="paragraph" w:styleId="a7">
    <w:name w:val="annotation subject"/>
    <w:basedOn w:val="a6"/>
    <w:next w:val="a6"/>
    <w:rPr>
      <w:b/>
      <w:bCs/>
    </w:rPr>
  </w:style>
  <w:style w:type="paragraph" w:styleId="a8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faultdocbaseattributestylewithoutnowrap1">
    <w:name w:val="defaultdocbaseattributestylewithoutnowrap1"/>
    <w:rPr>
      <w:rFonts w:ascii="Tahoma" w:hAnsi="Tahoma" w:cs="Tahoma"/>
      <w:sz w:val="18"/>
      <w:szCs w:val="18"/>
    </w:rPr>
  </w:style>
  <w:style w:type="character" w:styleId="a9">
    <w:name w:val="Strong"/>
    <w:basedOn w:val="a0"/>
    <w:rPr>
      <w:b/>
      <w:bCs/>
    </w:rPr>
  </w:style>
  <w:style w:type="character" w:styleId="aa">
    <w:name w:val="Hyperlink"/>
    <w:basedOn w:val="a0"/>
    <w:rPr>
      <w:color w:val="0000FF"/>
      <w:u w:val="single"/>
    </w:rPr>
  </w:style>
  <w:style w:type="character" w:styleId="ab">
    <w:name w:val="annotation reference"/>
    <w:basedOn w:val="a0"/>
    <w:rPr>
      <w:sz w:val="16"/>
      <w:szCs w:val="16"/>
    </w:rPr>
  </w:style>
  <w:style w:type="character" w:customStyle="1" w:styleId="ac">
    <w:name w:val="Текст примечания Знак"/>
    <w:basedOn w:val="a0"/>
    <w:rPr>
      <w:sz w:val="20"/>
      <w:szCs w:val="20"/>
    </w:rPr>
  </w:style>
  <w:style w:type="character" w:customStyle="1" w:styleId="ad">
    <w:name w:val="Тема примечания Знак"/>
    <w:basedOn w:val="ac"/>
    <w:rPr>
      <w:b/>
      <w:bCs/>
      <w:sz w:val="20"/>
      <w:szCs w:val="20"/>
    </w:rPr>
  </w:style>
  <w:style w:type="character" w:customStyle="1" w:styleId="ae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/DUsers/chev/Downloads/&#1048;&#1085;&#1092;&#1086;&#1088;&#1084;&#1072;&#1094;&#1080;&#1086;&#1085;&#1085;&#1099;&#1077;+&#1084;&#1072;&#1090;&#1077;&#1088;&#1080;&#1072;&#1083;&#1099;+&#1087;&#1086;+&#1056;&#1053;%20(1).odt/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 Дмитрий Васильевич</dc:creator>
  <cp:lastModifiedBy>kna</cp:lastModifiedBy>
  <cp:revision>1</cp:revision>
  <cp:lastPrinted>2020-07-30T05:25:00Z</cp:lastPrinted>
  <dcterms:created xsi:type="dcterms:W3CDTF">2023-10-06T08:35:00Z</dcterms:created>
  <dcterms:modified xsi:type="dcterms:W3CDTF">2023-11-20T07:28:00Z</dcterms:modified>
</cp:coreProperties>
</file>