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b/>
          <w:bCs/>
          <w:sz w:val="24"/>
          <w:szCs w:val="24"/>
          <w:lang w:eastAsia="ru-RU"/>
        </w:rPr>
        <w:t>В течение 2015 года в сфере культуры произошли структурные изменения: объединены два учреждения клубного типа «Дворец культуры «Юность» и «Центр культуры «Да здравствуют дети!» в одно муниципальное бюджетное учреждение культуры «Дворец культуры «Юность»; изменён тип муниципального казённого учреждения культуры «Централизованная библиотечная система» на бюджетное учреждение.</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В течение 2015 года реализовывалась муниципальная программа «Сохранение и развитие сферы культуры в городе Каменске-Уральском» на 2014-2018 годы. Все контрольные параметры экономических и социальных показателей, установленные в муниципальных заданиях учреждениям культуры в 2015 году, достигнуты, многие показатели перевыполнены.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В 2015 году организовано 1976  мероприятий, на которых присутствовало 590,712 тыс. зрителей. В </w:t>
      </w:r>
      <w:proofErr w:type="spellStart"/>
      <w:r w:rsidRPr="00E93862">
        <w:rPr>
          <w:rFonts w:ascii="Times New Roman" w:eastAsia="Times New Roman" w:hAnsi="Times New Roman" w:cs="Times New Roman"/>
          <w:sz w:val="24"/>
          <w:szCs w:val="24"/>
          <w:lang w:eastAsia="ru-RU"/>
        </w:rPr>
        <w:t>культурно-досуговых</w:t>
      </w:r>
      <w:proofErr w:type="spellEnd"/>
      <w:r w:rsidRPr="00E93862">
        <w:rPr>
          <w:rFonts w:ascii="Times New Roman" w:eastAsia="Times New Roman" w:hAnsi="Times New Roman" w:cs="Times New Roman"/>
          <w:sz w:val="24"/>
          <w:szCs w:val="24"/>
          <w:lang w:eastAsia="ru-RU"/>
        </w:rPr>
        <w:t xml:space="preserve"> учреждениях и театре драмы функционирует 162 клубных формирования, в которых занимается 4 250 участников. Выставки городского краеведческого музея и выставочного зала посетили 126,6 тыс. </w:t>
      </w:r>
      <w:proofErr w:type="spellStart"/>
      <w:r w:rsidRPr="00E93862">
        <w:rPr>
          <w:rFonts w:ascii="Times New Roman" w:eastAsia="Times New Roman" w:hAnsi="Times New Roman" w:cs="Times New Roman"/>
          <w:sz w:val="24"/>
          <w:szCs w:val="24"/>
          <w:lang w:eastAsia="ru-RU"/>
        </w:rPr>
        <w:t>каменцев</w:t>
      </w:r>
      <w:proofErr w:type="spellEnd"/>
      <w:r w:rsidRPr="00E93862">
        <w:rPr>
          <w:rFonts w:ascii="Times New Roman" w:eastAsia="Times New Roman" w:hAnsi="Times New Roman" w:cs="Times New Roman"/>
          <w:sz w:val="24"/>
          <w:szCs w:val="24"/>
          <w:lang w:eastAsia="ru-RU"/>
        </w:rPr>
        <w:t xml:space="preserve"> и гостей города.</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Главным событием уходящего года стало празднование 70-летия Победы советского народа в Великой Отечественной войне. Патриотическим мероприятиям, посвященным этой знаменательной дате, было уделено особое внимание, они были организованы с большим размахом.</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b/>
          <w:bCs/>
          <w:sz w:val="24"/>
          <w:szCs w:val="24"/>
          <w:lang w:eastAsia="ru-RU"/>
        </w:rPr>
        <w:t xml:space="preserve">Ветераны войны, труженики тыла, несовершеннолетние узники фашистских лагерей, члены ветеранских организаций стали 7 мая главными гостями торжественного вечера, посвященного 70-летию Победы, в театре драмы. </w:t>
      </w:r>
      <w:r w:rsidRPr="00E93862">
        <w:rPr>
          <w:rFonts w:ascii="Times New Roman" w:eastAsia="Times New Roman" w:hAnsi="Times New Roman" w:cs="Times New Roman"/>
          <w:sz w:val="24"/>
          <w:szCs w:val="24"/>
          <w:lang w:eastAsia="ru-RU"/>
        </w:rPr>
        <w:t xml:space="preserve">На сцене театра драмы ожили воспоминания </w:t>
      </w:r>
      <w:proofErr w:type="spellStart"/>
      <w:r w:rsidRPr="00E93862">
        <w:rPr>
          <w:rFonts w:ascii="Times New Roman" w:eastAsia="Times New Roman" w:hAnsi="Times New Roman" w:cs="Times New Roman"/>
          <w:sz w:val="24"/>
          <w:szCs w:val="24"/>
          <w:lang w:eastAsia="ru-RU"/>
        </w:rPr>
        <w:t>каменцев</w:t>
      </w:r>
      <w:proofErr w:type="spellEnd"/>
      <w:r w:rsidRPr="00E93862">
        <w:rPr>
          <w:rFonts w:ascii="Times New Roman" w:eastAsia="Times New Roman" w:hAnsi="Times New Roman" w:cs="Times New Roman"/>
          <w:sz w:val="24"/>
          <w:szCs w:val="24"/>
          <w:lang w:eastAsia="ru-RU"/>
        </w:rPr>
        <w:t xml:space="preserve"> о войне из новой книги Нины Буйносовой «Война была у каждого своя».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b/>
          <w:bCs/>
          <w:sz w:val="24"/>
          <w:szCs w:val="24"/>
          <w:lang w:eastAsia="ru-RU"/>
        </w:rPr>
        <w:t xml:space="preserve">9 мая, в главный день празднования 70-летия Победы, состоялись митинги у </w:t>
      </w:r>
      <w:proofErr w:type="gramStart"/>
      <w:r w:rsidRPr="00E93862">
        <w:rPr>
          <w:rFonts w:ascii="Times New Roman" w:eastAsia="Times New Roman" w:hAnsi="Times New Roman" w:cs="Times New Roman"/>
          <w:b/>
          <w:bCs/>
          <w:sz w:val="24"/>
          <w:szCs w:val="24"/>
          <w:lang w:eastAsia="ru-RU"/>
        </w:rPr>
        <w:t>мемориалов</w:t>
      </w:r>
      <w:proofErr w:type="gramEnd"/>
      <w:r w:rsidRPr="00E93862">
        <w:rPr>
          <w:rFonts w:ascii="Times New Roman" w:eastAsia="Times New Roman" w:hAnsi="Times New Roman" w:cs="Times New Roman"/>
          <w:b/>
          <w:bCs/>
          <w:sz w:val="24"/>
          <w:szCs w:val="24"/>
          <w:lang w:eastAsia="ru-RU"/>
        </w:rPr>
        <w:t xml:space="preserve"> погибших </w:t>
      </w:r>
      <w:proofErr w:type="spellStart"/>
      <w:r w:rsidRPr="00E93862">
        <w:rPr>
          <w:rFonts w:ascii="Times New Roman" w:eastAsia="Times New Roman" w:hAnsi="Times New Roman" w:cs="Times New Roman"/>
          <w:b/>
          <w:bCs/>
          <w:sz w:val="24"/>
          <w:szCs w:val="24"/>
          <w:lang w:eastAsia="ru-RU"/>
        </w:rPr>
        <w:t>каменцев</w:t>
      </w:r>
      <w:proofErr w:type="spellEnd"/>
      <w:r w:rsidRPr="00E93862">
        <w:rPr>
          <w:rFonts w:ascii="Times New Roman" w:eastAsia="Times New Roman" w:hAnsi="Times New Roman" w:cs="Times New Roman"/>
          <w:b/>
          <w:bCs/>
          <w:sz w:val="24"/>
          <w:szCs w:val="24"/>
          <w:lang w:eastAsia="ru-RU"/>
        </w:rPr>
        <w:t>, военный парад, акция «Бессмертный полк», грандиозное театрализованное представление «Святая Родина моя», акция «Поющая площадь», праздничный фейерверк.</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В год юбилея Великой Победы изданы книги: «Каменск-Уральский в Великой Отечественной войне» (с участием научных сотрудников краеведческого музея); «Война у каждого своя» (под ред. Н.И. Буйносовой); поэтическая антология ««Вечный огонь». Поэты одного города о войне». Это огромный по содержанию, пронзительный по воздействию на читателя труд, раскрывающий подвиг </w:t>
      </w:r>
      <w:proofErr w:type="spellStart"/>
      <w:r w:rsidRPr="00E93862">
        <w:rPr>
          <w:rFonts w:ascii="Times New Roman" w:eastAsia="Times New Roman" w:hAnsi="Times New Roman" w:cs="Times New Roman"/>
          <w:sz w:val="24"/>
          <w:szCs w:val="24"/>
          <w:lang w:eastAsia="ru-RU"/>
        </w:rPr>
        <w:t>каменцев</w:t>
      </w:r>
      <w:proofErr w:type="spellEnd"/>
      <w:r w:rsidRPr="00E93862">
        <w:rPr>
          <w:rFonts w:ascii="Times New Roman" w:eastAsia="Times New Roman" w:hAnsi="Times New Roman" w:cs="Times New Roman"/>
          <w:sz w:val="24"/>
          <w:szCs w:val="24"/>
          <w:lang w:eastAsia="ru-RU"/>
        </w:rPr>
        <w:t xml:space="preserve"> в годы войны.</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Кроме этого, 2015 год был объявлен в России Годом литературы. В этот год в Каменске-Уральском организовано третье международное совещание молодых писателей и писательский форум «</w:t>
      </w:r>
      <w:proofErr w:type="spellStart"/>
      <w:r w:rsidRPr="00E93862">
        <w:rPr>
          <w:rFonts w:ascii="Times New Roman" w:eastAsia="Times New Roman" w:hAnsi="Times New Roman" w:cs="Times New Roman"/>
          <w:sz w:val="24"/>
          <w:szCs w:val="24"/>
          <w:lang w:eastAsia="ru-RU"/>
        </w:rPr>
        <w:t>Рифейские</w:t>
      </w:r>
      <w:proofErr w:type="spellEnd"/>
      <w:r w:rsidRPr="00E93862">
        <w:rPr>
          <w:rFonts w:ascii="Times New Roman" w:eastAsia="Times New Roman" w:hAnsi="Times New Roman" w:cs="Times New Roman"/>
          <w:sz w:val="24"/>
          <w:szCs w:val="24"/>
          <w:lang w:eastAsia="ru-RU"/>
        </w:rPr>
        <w:t xml:space="preserve"> встречи». В дни форума в городе собралась интеллектуальная элита России, представители писательского сообщества из ближнего зарубежья. Проведение форума стало заметным событием в жизни нашей страны и нашего города, укрепило имидж города как одного из культурных центров Свердловской области и России.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Год литературы Центральная городская библиотека им. А.С. Пушкина приняла участие во всероссийской акции «Марафон-чтение романа Л.Н. Толстого «Война и мир».</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lastRenderedPageBreak/>
        <w:t>Все библиотеки МБУК «Централизованная библиотечная система» приняли активное участие в областной акции «Тотальный день чтения».  Известные люди города и области в этот день говорили о своем творчестве и своих любимых книгах, читали вслух произведения современных авторов и классики.</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Мероприятием, завершающим Год литературы, стал  Поэтический </w:t>
      </w:r>
      <w:proofErr w:type="spellStart"/>
      <w:r w:rsidRPr="00E93862">
        <w:rPr>
          <w:rFonts w:ascii="Times New Roman" w:eastAsia="Times New Roman" w:hAnsi="Times New Roman" w:cs="Times New Roman"/>
          <w:sz w:val="24"/>
          <w:szCs w:val="24"/>
          <w:lang w:eastAsia="ru-RU"/>
        </w:rPr>
        <w:t>батл</w:t>
      </w:r>
      <w:proofErr w:type="spellEnd"/>
      <w:r w:rsidRPr="00E93862">
        <w:rPr>
          <w:rFonts w:ascii="Times New Roman" w:eastAsia="Times New Roman" w:hAnsi="Times New Roman" w:cs="Times New Roman"/>
          <w:sz w:val="24"/>
          <w:szCs w:val="24"/>
          <w:lang w:eastAsia="ru-RU"/>
        </w:rPr>
        <w:t xml:space="preserve"> (англ. </w:t>
      </w:r>
      <w:proofErr w:type="spellStart"/>
      <w:r w:rsidRPr="00E93862">
        <w:rPr>
          <w:rFonts w:ascii="Times New Roman" w:eastAsia="Times New Roman" w:hAnsi="Times New Roman" w:cs="Times New Roman"/>
          <w:sz w:val="24"/>
          <w:szCs w:val="24"/>
          <w:lang w:eastAsia="ru-RU"/>
        </w:rPr>
        <w:t>battle</w:t>
      </w:r>
      <w:proofErr w:type="spellEnd"/>
      <w:r w:rsidRPr="00E93862">
        <w:rPr>
          <w:rFonts w:ascii="Times New Roman" w:eastAsia="Times New Roman" w:hAnsi="Times New Roman" w:cs="Times New Roman"/>
          <w:sz w:val="24"/>
          <w:szCs w:val="24"/>
          <w:lang w:eastAsia="ru-RU"/>
        </w:rPr>
        <w:t xml:space="preserve"> - бой, битва), организованный в главной библиотеке города. 20 декабря 2015 года в поэтический поединок вступили </w:t>
      </w:r>
      <w:proofErr w:type="spellStart"/>
      <w:r w:rsidRPr="00E93862">
        <w:rPr>
          <w:rFonts w:ascii="Times New Roman" w:eastAsia="Times New Roman" w:hAnsi="Times New Roman" w:cs="Times New Roman"/>
          <w:sz w:val="24"/>
          <w:szCs w:val="24"/>
          <w:lang w:eastAsia="ru-RU"/>
        </w:rPr>
        <w:t>каменские</w:t>
      </w:r>
      <w:proofErr w:type="spellEnd"/>
      <w:r w:rsidRPr="00E93862">
        <w:rPr>
          <w:rFonts w:ascii="Times New Roman" w:eastAsia="Times New Roman" w:hAnsi="Times New Roman" w:cs="Times New Roman"/>
          <w:sz w:val="24"/>
          <w:szCs w:val="24"/>
          <w:lang w:eastAsia="ru-RU"/>
        </w:rPr>
        <w:t xml:space="preserve"> поэты. Мастерство молодых авторов оценивали известные </w:t>
      </w:r>
      <w:proofErr w:type="spellStart"/>
      <w:r w:rsidRPr="00E93862">
        <w:rPr>
          <w:rFonts w:ascii="Times New Roman" w:eastAsia="Times New Roman" w:hAnsi="Times New Roman" w:cs="Times New Roman"/>
          <w:sz w:val="24"/>
          <w:szCs w:val="24"/>
          <w:lang w:eastAsia="ru-RU"/>
        </w:rPr>
        <w:t>каменские</w:t>
      </w:r>
      <w:proofErr w:type="spellEnd"/>
      <w:r w:rsidRPr="00E93862">
        <w:rPr>
          <w:rFonts w:ascii="Times New Roman" w:eastAsia="Times New Roman" w:hAnsi="Times New Roman" w:cs="Times New Roman"/>
          <w:sz w:val="24"/>
          <w:szCs w:val="24"/>
          <w:lang w:eastAsia="ru-RU"/>
        </w:rPr>
        <w:t xml:space="preserve"> литераторы. Оценивались не только тексты, но и чтение, тип и форма декламации. На Поэтическом поединке библиотека представила еще один проект под названием «Живое слово». На суд зрителей были выставлены три </w:t>
      </w:r>
      <w:proofErr w:type="spellStart"/>
      <w:r w:rsidRPr="00E93862">
        <w:rPr>
          <w:rFonts w:ascii="Times New Roman" w:eastAsia="Times New Roman" w:hAnsi="Times New Roman" w:cs="Times New Roman"/>
          <w:sz w:val="24"/>
          <w:szCs w:val="24"/>
          <w:lang w:eastAsia="ru-RU"/>
        </w:rPr>
        <w:t>буктрейлера</w:t>
      </w:r>
      <w:proofErr w:type="spellEnd"/>
      <w:r w:rsidRPr="00E93862">
        <w:rPr>
          <w:rFonts w:ascii="Times New Roman" w:eastAsia="Times New Roman" w:hAnsi="Times New Roman" w:cs="Times New Roman"/>
          <w:sz w:val="24"/>
          <w:szCs w:val="24"/>
          <w:lang w:eastAsia="ru-RU"/>
        </w:rPr>
        <w:t xml:space="preserve">, посвященные </w:t>
      </w:r>
      <w:proofErr w:type="spellStart"/>
      <w:r w:rsidRPr="00E93862">
        <w:rPr>
          <w:rFonts w:ascii="Times New Roman" w:eastAsia="Times New Roman" w:hAnsi="Times New Roman" w:cs="Times New Roman"/>
          <w:sz w:val="24"/>
          <w:szCs w:val="24"/>
          <w:lang w:eastAsia="ru-RU"/>
        </w:rPr>
        <w:t>каменским</w:t>
      </w:r>
      <w:proofErr w:type="spellEnd"/>
      <w:r w:rsidRPr="00E93862">
        <w:rPr>
          <w:rFonts w:ascii="Times New Roman" w:eastAsia="Times New Roman" w:hAnsi="Times New Roman" w:cs="Times New Roman"/>
          <w:sz w:val="24"/>
          <w:szCs w:val="24"/>
          <w:lang w:eastAsia="ru-RU"/>
        </w:rPr>
        <w:t xml:space="preserve"> поэтам.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ХI фестиваль колокольных звонов «Каменск-Уральский колокольная столица» второй раз прошёл в статусе </w:t>
      </w:r>
      <w:proofErr w:type="gramStart"/>
      <w:r w:rsidRPr="00E93862">
        <w:rPr>
          <w:rFonts w:ascii="Times New Roman" w:eastAsia="Times New Roman" w:hAnsi="Times New Roman" w:cs="Times New Roman"/>
          <w:sz w:val="24"/>
          <w:szCs w:val="24"/>
          <w:lang w:eastAsia="ru-RU"/>
        </w:rPr>
        <w:t>международного</w:t>
      </w:r>
      <w:proofErr w:type="gramEnd"/>
      <w:r w:rsidRPr="00E93862">
        <w:rPr>
          <w:rFonts w:ascii="Times New Roman" w:eastAsia="Times New Roman" w:hAnsi="Times New Roman" w:cs="Times New Roman"/>
          <w:sz w:val="24"/>
          <w:szCs w:val="24"/>
          <w:lang w:eastAsia="ru-RU"/>
        </w:rPr>
        <w:t xml:space="preserve">. Праздник собрал на главной площади города сотни горожан и туристов. Гала-концерт фестиваля назывался «Святая Русь - оплот России» и был посвящен трём датам:  династии Романовых и последнему русскому царю Николаю II и его семье, 1000-летию преставления князя Владимира – святителя Руси, 70-летнему юбилею Победы.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Муниципальный театр драмы осуществил прокат 369 спектаклей, которые посетил 46 531 зритель.</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Достижениями театра 2015 года стали победа в номинации «Лучшая мужская роль в драматическом театре» на областном театральном фестивале «Браво!», участие театра со спектаклем «Король Лир» в XIII фестивале театров малых городов России (г</w:t>
      </w:r>
      <w:proofErr w:type="gramStart"/>
      <w:r w:rsidRPr="00E93862">
        <w:rPr>
          <w:rFonts w:ascii="Times New Roman" w:eastAsia="Times New Roman" w:hAnsi="Times New Roman" w:cs="Times New Roman"/>
          <w:sz w:val="24"/>
          <w:szCs w:val="24"/>
          <w:lang w:eastAsia="ru-RU"/>
        </w:rPr>
        <w:t>.Д</w:t>
      </w:r>
      <w:proofErr w:type="gramEnd"/>
      <w:r w:rsidRPr="00E93862">
        <w:rPr>
          <w:rFonts w:ascii="Times New Roman" w:eastAsia="Times New Roman" w:hAnsi="Times New Roman" w:cs="Times New Roman"/>
          <w:sz w:val="24"/>
          <w:szCs w:val="24"/>
          <w:lang w:eastAsia="ru-RU"/>
        </w:rPr>
        <w:t>убна), победа в конкурсе по предоставлению грантов Губернатора Свердловской области в номинации «Создание  новых  театральных  постановок  малой  формы» (500 тыс.руб. на постановку спектакля «Жертвоприношение Елены»), победа в городском конкурсе «Лидер года в сфере культуры» (диплом и переходящее знамя).</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b/>
          <w:bCs/>
          <w:sz w:val="24"/>
          <w:szCs w:val="24"/>
          <w:lang w:eastAsia="ru-RU"/>
        </w:rPr>
        <w:t xml:space="preserve">Театр драмы вошёл в </w:t>
      </w:r>
      <w:proofErr w:type="spellStart"/>
      <w:r w:rsidRPr="00E93862">
        <w:rPr>
          <w:rFonts w:ascii="Times New Roman" w:eastAsia="Times New Roman" w:hAnsi="Times New Roman" w:cs="Times New Roman"/>
          <w:b/>
          <w:bCs/>
          <w:sz w:val="24"/>
          <w:szCs w:val="24"/>
          <w:lang w:eastAsia="ru-RU"/>
        </w:rPr>
        <w:t>лонг-лист</w:t>
      </w:r>
      <w:proofErr w:type="spellEnd"/>
      <w:r w:rsidRPr="00E93862">
        <w:rPr>
          <w:rFonts w:ascii="Times New Roman" w:eastAsia="Times New Roman" w:hAnsi="Times New Roman" w:cs="Times New Roman"/>
          <w:b/>
          <w:bCs/>
          <w:sz w:val="24"/>
          <w:szCs w:val="24"/>
          <w:lang w:eastAsia="ru-RU"/>
        </w:rPr>
        <w:t xml:space="preserve"> национальной театральной премии «Золотая маска». </w:t>
      </w:r>
      <w:r w:rsidRPr="00E93862">
        <w:rPr>
          <w:rFonts w:ascii="Times New Roman" w:eastAsia="Times New Roman" w:hAnsi="Times New Roman" w:cs="Times New Roman"/>
          <w:sz w:val="24"/>
          <w:szCs w:val="24"/>
          <w:lang w:eastAsia="ru-RU"/>
        </w:rPr>
        <w:t>Спектакль «Лодочник» оказался в числе 65 самых заметных драматических спектаклей, поставленных в Российской Федерации в сезоне 2014-2015 годов. Так высоко спектакль Каменск-Уральского театра драмы оценён впервые в его истории.</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2015 году пользователями муниципальных библиотек были 56 120 горожан, зафиксировано 436,15 тыс. посещений, книговыдача составила 1250,5 тыс. экземпляров.</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Все библиотеки имеют широкополосный доступ в Интернет, в 9 библиотеках открыт бесплатный доступ </w:t>
      </w:r>
      <w:proofErr w:type="spellStart"/>
      <w:r w:rsidRPr="00E93862">
        <w:rPr>
          <w:rFonts w:ascii="Times New Roman" w:eastAsia="Times New Roman" w:hAnsi="Times New Roman" w:cs="Times New Roman"/>
          <w:sz w:val="24"/>
          <w:szCs w:val="24"/>
          <w:lang w:eastAsia="ru-RU"/>
        </w:rPr>
        <w:t>Wi-Fi</w:t>
      </w:r>
      <w:proofErr w:type="spellEnd"/>
      <w:r w:rsidRPr="00E93862">
        <w:rPr>
          <w:rFonts w:ascii="Times New Roman" w:eastAsia="Times New Roman" w:hAnsi="Times New Roman" w:cs="Times New Roman"/>
          <w:sz w:val="24"/>
          <w:szCs w:val="24"/>
          <w:lang w:eastAsia="ru-RU"/>
        </w:rPr>
        <w:t xml:space="preserve">. Активно развивается деятельность муниципальных библиотек в сети Интернет. Работают 2 сайта и 7 </w:t>
      </w:r>
      <w:proofErr w:type="gramStart"/>
      <w:r w:rsidRPr="00E93862">
        <w:rPr>
          <w:rFonts w:ascii="Times New Roman" w:eastAsia="Times New Roman" w:hAnsi="Times New Roman" w:cs="Times New Roman"/>
          <w:sz w:val="24"/>
          <w:szCs w:val="24"/>
          <w:lang w:eastAsia="ru-RU"/>
        </w:rPr>
        <w:t>библиотечных</w:t>
      </w:r>
      <w:proofErr w:type="gramEnd"/>
      <w:r w:rsidRPr="00E93862">
        <w:rPr>
          <w:rFonts w:ascii="Times New Roman" w:eastAsia="Times New Roman" w:hAnsi="Times New Roman" w:cs="Times New Roman"/>
          <w:sz w:val="24"/>
          <w:szCs w:val="24"/>
          <w:lang w:eastAsia="ru-RU"/>
        </w:rPr>
        <w:t xml:space="preserve"> </w:t>
      </w:r>
      <w:proofErr w:type="spellStart"/>
      <w:r w:rsidRPr="00E93862">
        <w:rPr>
          <w:rFonts w:ascii="Times New Roman" w:eastAsia="Times New Roman" w:hAnsi="Times New Roman" w:cs="Times New Roman"/>
          <w:sz w:val="24"/>
          <w:szCs w:val="24"/>
          <w:lang w:eastAsia="ru-RU"/>
        </w:rPr>
        <w:t>блогов</w:t>
      </w:r>
      <w:proofErr w:type="spellEnd"/>
      <w:r w:rsidRPr="00E93862">
        <w:rPr>
          <w:rFonts w:ascii="Times New Roman" w:eastAsia="Times New Roman" w:hAnsi="Times New Roman" w:cs="Times New Roman"/>
          <w:sz w:val="24"/>
          <w:szCs w:val="24"/>
          <w:lang w:eastAsia="ru-RU"/>
        </w:rPr>
        <w:t xml:space="preserve">.  По итогам шестого всероссийского конкурса сайтов «Позитивный </w:t>
      </w:r>
      <w:proofErr w:type="spellStart"/>
      <w:r w:rsidRPr="00E93862">
        <w:rPr>
          <w:rFonts w:ascii="Times New Roman" w:eastAsia="Times New Roman" w:hAnsi="Times New Roman" w:cs="Times New Roman"/>
          <w:sz w:val="24"/>
          <w:szCs w:val="24"/>
          <w:lang w:eastAsia="ru-RU"/>
        </w:rPr>
        <w:t>контент</w:t>
      </w:r>
      <w:proofErr w:type="spellEnd"/>
      <w:r w:rsidRPr="00E93862">
        <w:rPr>
          <w:rFonts w:ascii="Times New Roman" w:eastAsia="Times New Roman" w:hAnsi="Times New Roman" w:cs="Times New Roman"/>
          <w:sz w:val="24"/>
          <w:szCs w:val="24"/>
          <w:lang w:eastAsia="ru-RU"/>
        </w:rPr>
        <w:t xml:space="preserve">» </w:t>
      </w:r>
      <w:proofErr w:type="spellStart"/>
      <w:r w:rsidRPr="00E93862">
        <w:rPr>
          <w:rFonts w:ascii="Times New Roman" w:eastAsia="Times New Roman" w:hAnsi="Times New Roman" w:cs="Times New Roman"/>
          <w:sz w:val="24"/>
          <w:szCs w:val="24"/>
          <w:lang w:eastAsia="ru-RU"/>
        </w:rPr>
        <w:t>блог</w:t>
      </w:r>
      <w:proofErr w:type="spellEnd"/>
      <w:r w:rsidRPr="00E93862">
        <w:rPr>
          <w:rFonts w:ascii="Times New Roman" w:eastAsia="Times New Roman" w:hAnsi="Times New Roman" w:cs="Times New Roman"/>
          <w:sz w:val="24"/>
          <w:szCs w:val="24"/>
          <w:lang w:eastAsia="ru-RU"/>
        </w:rPr>
        <w:t xml:space="preserve"> ЦГБ им. А.С. Пушкина «Интернет-Зазеркалье» признан лучшим интернет ресурсом, ориентированным на детскую и молодежную аудиторию в региональной номинации. Централизованная библиотечная система города в 2015 году названа лучшей среди крупных городов Свердловской области, участвующих в реализации областного проекта «Библиотечная информационная система (БИС) Свердловской области» по созданию корпоративных библиотечных ресурсов и реализации государственных и муниципальных услуг. В 2015 году при финансовой поддержке благотворительного фонда «</w:t>
      </w:r>
      <w:proofErr w:type="spellStart"/>
      <w:r w:rsidRPr="00E93862">
        <w:rPr>
          <w:rFonts w:ascii="Times New Roman" w:eastAsia="Times New Roman" w:hAnsi="Times New Roman" w:cs="Times New Roman"/>
          <w:sz w:val="24"/>
          <w:szCs w:val="24"/>
          <w:lang w:eastAsia="ru-RU"/>
        </w:rPr>
        <w:t>Синара</w:t>
      </w:r>
      <w:proofErr w:type="spellEnd"/>
      <w:r w:rsidRPr="00E93862">
        <w:rPr>
          <w:rFonts w:ascii="Times New Roman" w:eastAsia="Times New Roman" w:hAnsi="Times New Roman" w:cs="Times New Roman"/>
          <w:sz w:val="24"/>
          <w:szCs w:val="24"/>
          <w:lang w:eastAsia="ru-RU"/>
        </w:rPr>
        <w:t xml:space="preserve">» реализован проект Центральной городской библиотекой им. А.С. Пушкина «Пушкинские задворки».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lastRenderedPageBreak/>
        <w:t>На средства гранта (170 тыс</w:t>
      </w:r>
      <w:proofErr w:type="gramStart"/>
      <w:r w:rsidRPr="00E93862">
        <w:rPr>
          <w:rFonts w:ascii="Times New Roman" w:eastAsia="Times New Roman" w:hAnsi="Times New Roman" w:cs="Times New Roman"/>
          <w:sz w:val="24"/>
          <w:szCs w:val="24"/>
          <w:lang w:eastAsia="ru-RU"/>
        </w:rPr>
        <w:t>.р</w:t>
      </w:r>
      <w:proofErr w:type="gramEnd"/>
      <w:r w:rsidRPr="00E93862">
        <w:rPr>
          <w:rFonts w:ascii="Times New Roman" w:eastAsia="Times New Roman" w:hAnsi="Times New Roman" w:cs="Times New Roman"/>
          <w:sz w:val="24"/>
          <w:szCs w:val="24"/>
          <w:lang w:eastAsia="ru-RU"/>
        </w:rPr>
        <w:t xml:space="preserve">уб.) перед библиотекой установлен первый в своем роде </w:t>
      </w:r>
      <w:proofErr w:type="spellStart"/>
      <w:r w:rsidRPr="00E93862">
        <w:rPr>
          <w:rFonts w:ascii="Times New Roman" w:eastAsia="Times New Roman" w:hAnsi="Times New Roman" w:cs="Times New Roman"/>
          <w:sz w:val="24"/>
          <w:szCs w:val="24"/>
          <w:lang w:eastAsia="ru-RU"/>
        </w:rPr>
        <w:t>арт-объект</w:t>
      </w:r>
      <w:proofErr w:type="spellEnd"/>
      <w:r w:rsidRPr="00E93862">
        <w:rPr>
          <w:rFonts w:ascii="Times New Roman" w:eastAsia="Times New Roman" w:hAnsi="Times New Roman" w:cs="Times New Roman"/>
          <w:sz w:val="24"/>
          <w:szCs w:val="24"/>
          <w:lang w:eastAsia="ru-RU"/>
        </w:rPr>
        <w:t xml:space="preserve">.  Уникальное культурное событие – торжественное  открытие </w:t>
      </w:r>
      <w:proofErr w:type="spellStart"/>
      <w:r w:rsidRPr="00E93862">
        <w:rPr>
          <w:rFonts w:ascii="Times New Roman" w:eastAsia="Times New Roman" w:hAnsi="Times New Roman" w:cs="Times New Roman"/>
          <w:sz w:val="24"/>
          <w:szCs w:val="24"/>
          <w:lang w:eastAsia="ru-RU"/>
        </w:rPr>
        <w:t>арт-объекта</w:t>
      </w:r>
      <w:proofErr w:type="spellEnd"/>
      <w:r w:rsidRPr="00E93862">
        <w:rPr>
          <w:rFonts w:ascii="Times New Roman" w:eastAsia="Times New Roman" w:hAnsi="Times New Roman" w:cs="Times New Roman"/>
          <w:sz w:val="24"/>
          <w:szCs w:val="24"/>
          <w:lang w:eastAsia="ru-RU"/>
        </w:rPr>
        <w:t xml:space="preserve"> «Памятник Поэзии Пушкина» - состоялось 6 июня в Пушкинский день России в рамках ежегодного Пушкинского марафона.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Детская библиотека № 8 им. Н.Островского получила грант фонда «Центр социальных программ  РУСАЛ» (76 тыс. руб.) на реализацию проекта «Театр книги «Доброе окно» и заняла II место в областном конкурсе библиотечных театров книги среди муниципальных библиотек «Рождение образа».</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В 2014 году МБУК «Краеведческий музей» выиграл </w:t>
      </w:r>
      <w:proofErr w:type="spellStart"/>
      <w:r w:rsidRPr="00E93862">
        <w:rPr>
          <w:rFonts w:ascii="Times New Roman" w:eastAsia="Times New Roman" w:hAnsi="Times New Roman" w:cs="Times New Roman"/>
          <w:sz w:val="24"/>
          <w:szCs w:val="24"/>
          <w:lang w:eastAsia="ru-RU"/>
        </w:rPr>
        <w:t>грантовый</w:t>
      </w:r>
      <w:proofErr w:type="spellEnd"/>
      <w:r w:rsidRPr="00E93862">
        <w:rPr>
          <w:rFonts w:ascii="Times New Roman" w:eastAsia="Times New Roman" w:hAnsi="Times New Roman" w:cs="Times New Roman"/>
          <w:sz w:val="24"/>
          <w:szCs w:val="24"/>
          <w:lang w:eastAsia="ru-RU"/>
        </w:rPr>
        <w:t xml:space="preserve"> конкурс Благотворительного фонда «</w:t>
      </w:r>
      <w:proofErr w:type="spellStart"/>
      <w:r w:rsidRPr="00E93862">
        <w:rPr>
          <w:rFonts w:ascii="Times New Roman" w:eastAsia="Times New Roman" w:hAnsi="Times New Roman" w:cs="Times New Roman"/>
          <w:sz w:val="24"/>
          <w:szCs w:val="24"/>
          <w:lang w:eastAsia="ru-RU"/>
        </w:rPr>
        <w:t>Синара</w:t>
      </w:r>
      <w:proofErr w:type="spellEnd"/>
      <w:r w:rsidRPr="00E93862">
        <w:rPr>
          <w:rFonts w:ascii="Times New Roman" w:eastAsia="Times New Roman" w:hAnsi="Times New Roman" w:cs="Times New Roman"/>
          <w:sz w:val="24"/>
          <w:szCs w:val="24"/>
          <w:lang w:eastAsia="ru-RU"/>
        </w:rPr>
        <w:t>» и получил 140 тыс. руб. В 2015 году на эти средства оформлена экспозиция «Победа!», посвящённая 70-летнему юбилею Победы в Великой Отечественной войне.</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b/>
          <w:bCs/>
          <w:sz w:val="24"/>
          <w:szCs w:val="24"/>
          <w:lang w:eastAsia="ru-RU"/>
        </w:rPr>
        <w:t xml:space="preserve">Проект виртуальной выставки «Памятники религиозного искусства XVII-ХХ веков»  назван в числе победителей </w:t>
      </w:r>
      <w:proofErr w:type="spellStart"/>
      <w:r w:rsidRPr="00E93862">
        <w:rPr>
          <w:rFonts w:ascii="Times New Roman" w:eastAsia="Times New Roman" w:hAnsi="Times New Roman" w:cs="Times New Roman"/>
          <w:b/>
          <w:bCs/>
          <w:sz w:val="24"/>
          <w:szCs w:val="24"/>
          <w:lang w:eastAsia="ru-RU"/>
        </w:rPr>
        <w:t>грантового</w:t>
      </w:r>
      <w:proofErr w:type="spellEnd"/>
      <w:r w:rsidRPr="00E93862">
        <w:rPr>
          <w:rFonts w:ascii="Times New Roman" w:eastAsia="Times New Roman" w:hAnsi="Times New Roman" w:cs="Times New Roman"/>
          <w:b/>
          <w:bCs/>
          <w:sz w:val="24"/>
          <w:szCs w:val="24"/>
          <w:lang w:eastAsia="ru-RU"/>
        </w:rPr>
        <w:t xml:space="preserve"> конкурса Министерства культуры Свердловской области.</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Идея создания виртуальной выставки, подобной тем, что уже существуют в самых известных музеях мира, витала в стенах краеведческого музея давно, но технически без серьезной финансовой поддержки осуществить её было невозможно. В виртуальной экспозиции будут представлены памятники религиозного искусства XVII-XIX веков из уникального собрания запасников музея. Эти экспонаты ещё никогда не выставлялись из-за недостаточности места, необходимости соблюдения особых условий хранения и охраны. Теперь, благодаря современным технологиям, жители и гости города смогут увидеть всю эту красоту. В 3D-формате будут представлены церковная утварь, иконы, церковное облачение, старинные колокола, редкие православные книги. Отдельный раздел будет посвящен истории церквей Каменска и Каменского района, судьбам священнослужителей. Для каждого экспоната предусмотрено звуковое и текстовое сопровождение.</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Для реализации проекта на средства гранта (400 тыс. руб.) приобретен </w:t>
      </w:r>
      <w:proofErr w:type="spellStart"/>
      <w:r w:rsidRPr="00E93862">
        <w:rPr>
          <w:rFonts w:ascii="Times New Roman" w:eastAsia="Times New Roman" w:hAnsi="Times New Roman" w:cs="Times New Roman"/>
          <w:sz w:val="24"/>
          <w:szCs w:val="24"/>
          <w:lang w:eastAsia="ru-RU"/>
        </w:rPr>
        <w:t>мультимедийный</w:t>
      </w:r>
      <w:proofErr w:type="spellEnd"/>
      <w:r w:rsidRPr="00E93862">
        <w:rPr>
          <w:rFonts w:ascii="Times New Roman" w:eastAsia="Times New Roman" w:hAnsi="Times New Roman" w:cs="Times New Roman"/>
          <w:sz w:val="24"/>
          <w:szCs w:val="24"/>
          <w:lang w:eastAsia="ru-RU"/>
        </w:rPr>
        <w:t xml:space="preserve"> киоск, программное обеспечение к нему и другое необходимое оборудование. В настоящее время сотрудники музея начинают  информационное наполнение электронного устройства. </w:t>
      </w:r>
      <w:proofErr w:type="spellStart"/>
      <w:r w:rsidRPr="00E93862">
        <w:rPr>
          <w:rFonts w:ascii="Times New Roman" w:eastAsia="Times New Roman" w:hAnsi="Times New Roman" w:cs="Times New Roman"/>
          <w:sz w:val="24"/>
          <w:szCs w:val="24"/>
          <w:lang w:eastAsia="ru-RU"/>
        </w:rPr>
        <w:t>Мультимедийный</w:t>
      </w:r>
      <w:proofErr w:type="spellEnd"/>
      <w:r w:rsidRPr="00E93862">
        <w:rPr>
          <w:rFonts w:ascii="Times New Roman" w:eastAsia="Times New Roman" w:hAnsi="Times New Roman" w:cs="Times New Roman"/>
          <w:sz w:val="24"/>
          <w:szCs w:val="24"/>
          <w:lang w:eastAsia="ru-RU"/>
        </w:rPr>
        <w:t xml:space="preserve"> киоск – это прекрасная возможность показать многие музейные ценности, которые давно хранятся в запасниках (более 70 тыс. экспонатов).</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Ко дню рождения музея (5 мая)  </w:t>
      </w:r>
      <w:proofErr w:type="spellStart"/>
      <w:r w:rsidRPr="00E93862">
        <w:rPr>
          <w:rFonts w:ascii="Times New Roman" w:eastAsia="Times New Roman" w:hAnsi="Times New Roman" w:cs="Times New Roman"/>
          <w:sz w:val="24"/>
          <w:szCs w:val="24"/>
          <w:lang w:eastAsia="ru-RU"/>
        </w:rPr>
        <w:t>каменцы</w:t>
      </w:r>
      <w:proofErr w:type="spellEnd"/>
      <w:r w:rsidRPr="00E93862">
        <w:rPr>
          <w:rFonts w:ascii="Times New Roman" w:eastAsia="Times New Roman" w:hAnsi="Times New Roman" w:cs="Times New Roman"/>
          <w:sz w:val="24"/>
          <w:szCs w:val="24"/>
          <w:lang w:eastAsia="ru-RU"/>
        </w:rPr>
        <w:t xml:space="preserve"> смогут увидеть первую в Каменске виртуальную экспозицию.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Ярким событием года стало проведение научно-практической конференции «Вторые Каменские чтения». </w:t>
      </w:r>
      <w:r w:rsidRPr="00E93862">
        <w:rPr>
          <w:rFonts w:ascii="Times New Roman" w:eastAsia="Times New Roman" w:hAnsi="Times New Roman" w:cs="Times New Roman"/>
          <w:b/>
          <w:bCs/>
          <w:sz w:val="24"/>
          <w:szCs w:val="24"/>
          <w:lang w:eastAsia="ru-RU"/>
        </w:rPr>
        <w:t xml:space="preserve">Конференция проводилась с целью  </w:t>
      </w:r>
      <w:r w:rsidRPr="00E93862">
        <w:rPr>
          <w:rFonts w:ascii="Times New Roman" w:eastAsia="Times New Roman" w:hAnsi="Times New Roman" w:cs="Times New Roman"/>
          <w:sz w:val="24"/>
          <w:szCs w:val="24"/>
          <w:lang w:eastAsia="ru-RU"/>
        </w:rPr>
        <w:t xml:space="preserve">объединить силы и знания ученых, краеведов и музейных работников для обсуждения проблем комплексного исследования Каменска-Уральского, Каменского района и Урала в целом. </w:t>
      </w:r>
      <w:r w:rsidRPr="00E93862">
        <w:rPr>
          <w:rFonts w:ascii="Times New Roman" w:eastAsia="Times New Roman" w:hAnsi="Times New Roman" w:cs="Times New Roman"/>
          <w:b/>
          <w:bCs/>
          <w:sz w:val="24"/>
          <w:szCs w:val="24"/>
          <w:lang w:eastAsia="ru-RU"/>
        </w:rPr>
        <w:t>Тематические направления конференции</w:t>
      </w:r>
      <w:r w:rsidRPr="00E93862">
        <w:rPr>
          <w:rFonts w:ascii="Times New Roman" w:eastAsia="Times New Roman" w:hAnsi="Times New Roman" w:cs="Times New Roman"/>
          <w:sz w:val="24"/>
          <w:szCs w:val="24"/>
          <w:lang w:eastAsia="ru-RU"/>
        </w:rPr>
        <w:t>: Историческое краеведение (генеалогия, общественно-политическая жизнь, социально-экономическая история, художественная и духовная культура края). Природа и туризм.</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Впервые в 2015 году организована «Ночь искусств» (04.11.2015г). В этот день в выставочном зале было организовано несколько одновременно работающих творческих площадок: мини-кинозал, концертная программа, подготовленная воспитанниками </w:t>
      </w:r>
      <w:r w:rsidRPr="00E93862">
        <w:rPr>
          <w:rFonts w:ascii="Times New Roman" w:eastAsia="Times New Roman" w:hAnsi="Times New Roman" w:cs="Times New Roman"/>
          <w:sz w:val="24"/>
          <w:szCs w:val="24"/>
          <w:lang w:eastAsia="ru-RU"/>
        </w:rPr>
        <w:lastRenderedPageBreak/>
        <w:t xml:space="preserve">детских музыкальных школ и школ искусств, мастер-классы от художников и декораторов, литературная гостиная от </w:t>
      </w:r>
      <w:proofErr w:type="spellStart"/>
      <w:r w:rsidRPr="00E93862">
        <w:rPr>
          <w:rFonts w:ascii="Times New Roman" w:eastAsia="Times New Roman" w:hAnsi="Times New Roman" w:cs="Times New Roman"/>
          <w:sz w:val="24"/>
          <w:szCs w:val="24"/>
          <w:lang w:eastAsia="ru-RU"/>
        </w:rPr>
        <w:t>каменских</w:t>
      </w:r>
      <w:proofErr w:type="spellEnd"/>
      <w:r w:rsidRPr="00E93862">
        <w:rPr>
          <w:rFonts w:ascii="Times New Roman" w:eastAsia="Times New Roman" w:hAnsi="Times New Roman" w:cs="Times New Roman"/>
          <w:sz w:val="24"/>
          <w:szCs w:val="24"/>
          <w:lang w:eastAsia="ru-RU"/>
        </w:rPr>
        <w:t xml:space="preserve"> поэтов, роспись по телу </w:t>
      </w:r>
      <w:proofErr w:type="spellStart"/>
      <w:r w:rsidRPr="00E93862">
        <w:rPr>
          <w:rFonts w:ascii="Times New Roman" w:eastAsia="Times New Roman" w:hAnsi="Times New Roman" w:cs="Times New Roman"/>
          <w:sz w:val="24"/>
          <w:szCs w:val="24"/>
          <w:lang w:eastAsia="ru-RU"/>
        </w:rPr>
        <w:t>мехенди</w:t>
      </w:r>
      <w:proofErr w:type="spellEnd"/>
      <w:r w:rsidRPr="00E93862">
        <w:rPr>
          <w:rFonts w:ascii="Times New Roman" w:eastAsia="Times New Roman" w:hAnsi="Times New Roman" w:cs="Times New Roman"/>
          <w:sz w:val="24"/>
          <w:szCs w:val="24"/>
          <w:lang w:eastAsia="ru-RU"/>
        </w:rPr>
        <w:t>. Текущие выставки с творческими работами учащихся детских художественных школ стали приятными декорациями праздника. Посетили «Ночь искусств» 944 жителя и гостя города.</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Краеведческий музей в «Ночь искусств» организовал «Встречу друзей» различных национальностей  в литературно-музыкальной гостиной, в центральном здании музея состоялись </w:t>
      </w:r>
      <w:proofErr w:type="spellStart"/>
      <w:r w:rsidRPr="00E93862">
        <w:rPr>
          <w:rFonts w:ascii="Times New Roman" w:eastAsia="Times New Roman" w:hAnsi="Times New Roman" w:cs="Times New Roman"/>
          <w:sz w:val="24"/>
          <w:szCs w:val="24"/>
          <w:lang w:eastAsia="ru-RU"/>
        </w:rPr>
        <w:t>фотосессия</w:t>
      </w:r>
      <w:proofErr w:type="spellEnd"/>
      <w:r w:rsidRPr="00E93862">
        <w:rPr>
          <w:rFonts w:ascii="Times New Roman" w:eastAsia="Times New Roman" w:hAnsi="Times New Roman" w:cs="Times New Roman"/>
          <w:sz w:val="24"/>
          <w:szCs w:val="24"/>
          <w:lang w:eastAsia="ru-RU"/>
        </w:rPr>
        <w:t xml:space="preserve"> и мастер-класс. Гости, пришедшие в национальных костюмах, получили памятные  призы.</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b/>
          <w:bCs/>
          <w:sz w:val="24"/>
          <w:szCs w:val="24"/>
          <w:lang w:eastAsia="ru-RU"/>
        </w:rPr>
        <w:t xml:space="preserve">В новом кафе «Тет-а-тет» в поселке Ленинский открылся передвижной вернисаж городского выставочного зала: посетители кафе смогли полюбоваться работами известных </w:t>
      </w:r>
      <w:proofErr w:type="spellStart"/>
      <w:r w:rsidRPr="00E93862">
        <w:rPr>
          <w:rFonts w:ascii="Times New Roman" w:eastAsia="Times New Roman" w:hAnsi="Times New Roman" w:cs="Times New Roman"/>
          <w:b/>
          <w:bCs/>
          <w:sz w:val="24"/>
          <w:szCs w:val="24"/>
          <w:lang w:eastAsia="ru-RU"/>
        </w:rPr>
        <w:t>каменских</w:t>
      </w:r>
      <w:proofErr w:type="spellEnd"/>
      <w:r w:rsidRPr="00E93862">
        <w:rPr>
          <w:rFonts w:ascii="Times New Roman" w:eastAsia="Times New Roman" w:hAnsi="Times New Roman" w:cs="Times New Roman"/>
          <w:b/>
          <w:bCs/>
          <w:sz w:val="24"/>
          <w:szCs w:val="24"/>
          <w:lang w:eastAsia="ru-RU"/>
        </w:rPr>
        <w:t xml:space="preserve"> мастеров.</w:t>
      </w:r>
      <w:r w:rsidRPr="00E93862">
        <w:rPr>
          <w:rFonts w:ascii="Times New Roman" w:eastAsia="Times New Roman" w:hAnsi="Times New Roman" w:cs="Times New Roman"/>
          <w:sz w:val="24"/>
          <w:szCs w:val="24"/>
          <w:lang w:eastAsia="ru-RU"/>
        </w:rPr>
        <w:t xml:space="preserve"> Передвижной экспозицией в кафе городской выставочный зал начинает новую форму выставочной деятельности: отныне у горожан есть возможность познакомиться с искусством, не посещая специально для этого выставочный зал. Передвижные выставки с уникальными работами местных художников демонстрируются сейчас в самых разных местах. Помимо привычных муниципальных учреждений – библиотек и центров культуры – выставки могут проходить и в коммерческих организациях.</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7 учреждениях дополнительного образования детей обучаются 3 445 юных музыкантов, художников, танцоров, в том числе 2 183 чел. - по муниципальному заданию, 1262 чел. получают образование на платной основе. Одним из показателей эффективности школ является «количество учащихся детских школ искусств – участников творческих конкурсных мероприятий, фестивалей, выставок областного, регионального, межрегионального, всероссийского, международного значения и открытых муниципальных творческих конкурсных мероприятий». В 2015 году участниками конкурсов и фестивалей различного уровня стали 2 285 учащихся, 802 раза учащиеся становились призёрами конкурсных мероприятий. 10 юных дарований получали стипендию Главы города. Преподаватель ДШИ №2 Сергеева О.В.  стала лауреатом Губернаторской премии в номинации «Лучший преподаватель года».</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2015 году проводилась целенаправленная работа по реализации задач, поставленных Указами Президента РФ от 07 мая 2012 года в части, касающейся сферы культуры:</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средняя заработная плата основных работников учреждений культуры составила 23 134,7 руб., что составляет 98,6% от планового показателя, утверждённого «дорожной картой» (23 474,0 руб.);</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- 100% муниципальных библиотек имеют широкополосный доступ в Интернет;</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растет число записей в электронных каталогах общедоступных библиотек (на 01.01.2016 - 71 500 ед.);</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 библиотечный фонд  пополнился на 5 680 единиц за счет даров и участия в </w:t>
      </w:r>
      <w:proofErr w:type="spellStart"/>
      <w:r w:rsidRPr="00E93862">
        <w:rPr>
          <w:rFonts w:ascii="Times New Roman" w:eastAsia="Times New Roman" w:hAnsi="Times New Roman" w:cs="Times New Roman"/>
          <w:sz w:val="24"/>
          <w:szCs w:val="24"/>
          <w:lang w:eastAsia="ru-RU"/>
        </w:rPr>
        <w:t>грантовых</w:t>
      </w:r>
      <w:proofErr w:type="spellEnd"/>
      <w:r w:rsidRPr="00E93862">
        <w:rPr>
          <w:rFonts w:ascii="Times New Roman" w:eastAsia="Times New Roman" w:hAnsi="Times New Roman" w:cs="Times New Roman"/>
          <w:sz w:val="24"/>
          <w:szCs w:val="24"/>
          <w:lang w:eastAsia="ru-RU"/>
        </w:rPr>
        <w:t xml:space="preserve"> конкурсах;</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 разработаны и поддерживаются в актуальном состоянии сайты Краеведческого музея им. И.Я. </w:t>
      </w:r>
      <w:proofErr w:type="spellStart"/>
      <w:r w:rsidRPr="00E93862">
        <w:rPr>
          <w:rFonts w:ascii="Times New Roman" w:eastAsia="Times New Roman" w:hAnsi="Times New Roman" w:cs="Times New Roman"/>
          <w:sz w:val="24"/>
          <w:szCs w:val="24"/>
          <w:lang w:eastAsia="ru-RU"/>
        </w:rPr>
        <w:t>Стяжкина</w:t>
      </w:r>
      <w:proofErr w:type="spellEnd"/>
      <w:r w:rsidRPr="00E93862">
        <w:rPr>
          <w:rFonts w:ascii="Times New Roman" w:eastAsia="Times New Roman" w:hAnsi="Times New Roman" w:cs="Times New Roman"/>
          <w:sz w:val="24"/>
          <w:szCs w:val="24"/>
          <w:lang w:eastAsia="ru-RU"/>
        </w:rPr>
        <w:t xml:space="preserve"> и Городского выставочного зала;</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lastRenderedPageBreak/>
        <w:t>- увеличено количество выставочных проектов, в том числе передвижных (в 2015 году – 85 выставочных проектов, в том числе 42 передвижных);</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увеличилось количество детей, привлекаемых к участию в творческих мероприятиях (в 2014 году 2 192 чел. приняли участие в различных конкурсах и фестивалях, в 2015 году – 2 285 чел.);</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растёт число детей в возрасте 5-18 лет, охваченных дополнительными образовательными программами (контингент школ искусств – 3 445 учащихся).</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Деятельность учреждений культуры носит некоммерческий характер,  главным является обеспечение доступности и качества предоставляемых муниципальных услуг и работ. Основной объем затрат, обеспечивающих </w:t>
      </w:r>
      <w:proofErr w:type="spellStart"/>
      <w:r w:rsidRPr="00E93862">
        <w:rPr>
          <w:rFonts w:ascii="Times New Roman" w:eastAsia="Times New Roman" w:hAnsi="Times New Roman" w:cs="Times New Roman"/>
          <w:sz w:val="24"/>
          <w:szCs w:val="24"/>
          <w:lang w:eastAsia="ru-RU"/>
        </w:rPr>
        <w:t>культурно-досуговую</w:t>
      </w:r>
      <w:proofErr w:type="spellEnd"/>
      <w:r w:rsidRPr="00E93862">
        <w:rPr>
          <w:rFonts w:ascii="Times New Roman" w:eastAsia="Times New Roman" w:hAnsi="Times New Roman" w:cs="Times New Roman"/>
          <w:sz w:val="24"/>
          <w:szCs w:val="24"/>
          <w:lang w:eastAsia="ru-RU"/>
        </w:rPr>
        <w:t xml:space="preserve"> и образовательную деятельность, несет местный бюджет, но, несмотря на это, учреждениям ставится задача по снижению нагрузки на бюджет, направлению заработанных средств на улучшение материально-технической базы учреждений, содержание муниципального имущества в должном состоянии, увеличение заработной платы работникам культуры. Увеличение доходов от приносящей доход деятельности является постоянным предметом работы руководителей с коллективами учреждений культуры. План от приносящей доход деятельности в 2015 году выполнен на 107,5%, получено 54,52 млн</w:t>
      </w:r>
      <w:proofErr w:type="gramStart"/>
      <w:r w:rsidRPr="00E93862">
        <w:rPr>
          <w:rFonts w:ascii="Times New Roman" w:eastAsia="Times New Roman" w:hAnsi="Times New Roman" w:cs="Times New Roman"/>
          <w:sz w:val="24"/>
          <w:szCs w:val="24"/>
          <w:lang w:eastAsia="ru-RU"/>
        </w:rPr>
        <w:t>.р</w:t>
      </w:r>
      <w:proofErr w:type="gramEnd"/>
      <w:r w:rsidRPr="00E93862">
        <w:rPr>
          <w:rFonts w:ascii="Times New Roman" w:eastAsia="Times New Roman" w:hAnsi="Times New Roman" w:cs="Times New Roman"/>
          <w:sz w:val="24"/>
          <w:szCs w:val="24"/>
          <w:lang w:eastAsia="ru-RU"/>
        </w:rPr>
        <w:t>уб.</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93862">
        <w:rPr>
          <w:rFonts w:ascii="Times New Roman" w:eastAsia="Times New Roman" w:hAnsi="Times New Roman" w:cs="Times New Roman"/>
          <w:sz w:val="24"/>
          <w:szCs w:val="24"/>
          <w:lang w:eastAsia="ru-RU"/>
        </w:rPr>
        <w:t>Культурно-досуговая</w:t>
      </w:r>
      <w:proofErr w:type="spellEnd"/>
      <w:r w:rsidRPr="00E93862">
        <w:rPr>
          <w:rFonts w:ascii="Times New Roman" w:eastAsia="Times New Roman" w:hAnsi="Times New Roman" w:cs="Times New Roman"/>
          <w:sz w:val="24"/>
          <w:szCs w:val="24"/>
          <w:lang w:eastAsia="ru-RU"/>
        </w:rPr>
        <w:t xml:space="preserve"> сфера</w:t>
      </w:r>
    </w:p>
    <w:tbl>
      <w:tblPr>
        <w:tblW w:w="0" w:type="auto"/>
        <w:tblCellSpacing w:w="15" w:type="dxa"/>
        <w:tblCellMar>
          <w:top w:w="15" w:type="dxa"/>
          <w:left w:w="15" w:type="dxa"/>
          <w:bottom w:w="15" w:type="dxa"/>
          <w:right w:w="15" w:type="dxa"/>
        </w:tblCellMar>
        <w:tblLook w:val="04A0"/>
      </w:tblPr>
      <w:tblGrid>
        <w:gridCol w:w="5557"/>
        <w:gridCol w:w="1151"/>
        <w:gridCol w:w="1134"/>
        <w:gridCol w:w="1559"/>
      </w:tblGrid>
      <w:tr w:rsidR="00E93862" w:rsidRPr="00E93862" w:rsidTr="00E93862">
        <w:trPr>
          <w:trHeight w:val="397"/>
          <w:tblCellSpacing w:w="15" w:type="dxa"/>
        </w:trPr>
        <w:tc>
          <w:tcPr>
            <w:tcW w:w="0" w:type="auto"/>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Показатели</w:t>
            </w:r>
          </w:p>
        </w:tc>
        <w:tc>
          <w:tcPr>
            <w:tcW w:w="1121"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2013 год</w:t>
            </w:r>
          </w:p>
        </w:tc>
        <w:tc>
          <w:tcPr>
            <w:tcW w:w="1104"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2014 год</w:t>
            </w:r>
          </w:p>
        </w:tc>
        <w:tc>
          <w:tcPr>
            <w:tcW w:w="1514"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2015 год</w:t>
            </w:r>
          </w:p>
        </w:tc>
      </w:tr>
      <w:tr w:rsidR="00E93862" w:rsidRPr="00E93862" w:rsidTr="00E93862">
        <w:trPr>
          <w:trHeight w:val="397"/>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учреждений культуры клубного типа, ед.</w:t>
            </w:r>
          </w:p>
        </w:tc>
        <w:tc>
          <w:tcPr>
            <w:tcW w:w="112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6</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6</w:t>
            </w:r>
          </w:p>
        </w:tc>
        <w:tc>
          <w:tcPr>
            <w:tcW w:w="151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w:t>
            </w:r>
          </w:p>
        </w:tc>
      </w:tr>
      <w:tr w:rsidR="00E93862" w:rsidRPr="00E93862" w:rsidTr="00E93862">
        <w:trPr>
          <w:trHeight w:val="397"/>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клубных формирований, ед.</w:t>
            </w:r>
          </w:p>
        </w:tc>
        <w:tc>
          <w:tcPr>
            <w:tcW w:w="112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159</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159</w:t>
            </w:r>
          </w:p>
        </w:tc>
        <w:tc>
          <w:tcPr>
            <w:tcW w:w="151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153</w:t>
            </w:r>
          </w:p>
        </w:tc>
      </w:tr>
      <w:tr w:rsidR="00E93862" w:rsidRPr="00E93862" w:rsidTr="00E93862">
        <w:trPr>
          <w:trHeight w:val="397"/>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участников клубных формирований, чел.</w:t>
            </w:r>
          </w:p>
        </w:tc>
        <w:tc>
          <w:tcPr>
            <w:tcW w:w="112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7 292</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6 985</w:t>
            </w:r>
          </w:p>
        </w:tc>
        <w:tc>
          <w:tcPr>
            <w:tcW w:w="151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3 966</w:t>
            </w:r>
          </w:p>
        </w:tc>
      </w:tr>
      <w:tr w:rsidR="00E93862" w:rsidRPr="00E93862" w:rsidTr="00E93862">
        <w:trPr>
          <w:trHeight w:val="397"/>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проведённых мероприятий, ед.,</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том числе на платной основе, ед.</w:t>
            </w:r>
          </w:p>
        </w:tc>
        <w:tc>
          <w:tcPr>
            <w:tcW w:w="112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1 833</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704</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1 899</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907</w:t>
            </w:r>
          </w:p>
        </w:tc>
        <w:tc>
          <w:tcPr>
            <w:tcW w:w="151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1 756</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781</w:t>
            </w:r>
          </w:p>
        </w:tc>
      </w:tr>
      <w:tr w:rsidR="00E93862" w:rsidRPr="00E93862" w:rsidTr="00E93862">
        <w:trPr>
          <w:trHeight w:val="397"/>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посетителей, тыс</w:t>
            </w:r>
            <w:proofErr w:type="gramStart"/>
            <w:r w:rsidRPr="00E93862">
              <w:rPr>
                <w:rFonts w:ascii="Times New Roman" w:eastAsia="Times New Roman" w:hAnsi="Times New Roman" w:cs="Times New Roman"/>
                <w:sz w:val="24"/>
                <w:szCs w:val="24"/>
                <w:lang w:eastAsia="ru-RU"/>
              </w:rPr>
              <w:t>.ч</w:t>
            </w:r>
            <w:proofErr w:type="gramEnd"/>
            <w:r w:rsidRPr="00E93862">
              <w:rPr>
                <w:rFonts w:ascii="Times New Roman" w:eastAsia="Times New Roman" w:hAnsi="Times New Roman" w:cs="Times New Roman"/>
                <w:sz w:val="24"/>
                <w:szCs w:val="24"/>
                <w:lang w:eastAsia="ru-RU"/>
              </w:rPr>
              <w:t>ел.,</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том числе детей, тыс</w:t>
            </w:r>
            <w:proofErr w:type="gramStart"/>
            <w:r w:rsidRPr="00E93862">
              <w:rPr>
                <w:rFonts w:ascii="Times New Roman" w:eastAsia="Times New Roman" w:hAnsi="Times New Roman" w:cs="Times New Roman"/>
                <w:sz w:val="24"/>
                <w:szCs w:val="24"/>
                <w:lang w:eastAsia="ru-RU"/>
              </w:rPr>
              <w:t>.ч</w:t>
            </w:r>
            <w:proofErr w:type="gramEnd"/>
            <w:r w:rsidRPr="00E93862">
              <w:rPr>
                <w:rFonts w:ascii="Times New Roman" w:eastAsia="Times New Roman" w:hAnsi="Times New Roman" w:cs="Times New Roman"/>
                <w:sz w:val="24"/>
                <w:szCs w:val="24"/>
                <w:lang w:eastAsia="ru-RU"/>
              </w:rPr>
              <w:t>ел.</w:t>
            </w:r>
          </w:p>
        </w:tc>
        <w:tc>
          <w:tcPr>
            <w:tcW w:w="112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448,21</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155,36</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480,28</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141,15</w:t>
            </w:r>
          </w:p>
        </w:tc>
        <w:tc>
          <w:tcPr>
            <w:tcW w:w="151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524,03</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120,97</w:t>
            </w:r>
          </w:p>
        </w:tc>
      </w:tr>
    </w:tbl>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 объединены два учреждения клубного типа в одно (постановление Администрации города Каменска-Уральского от 29.07.2015 №1068 «О реорганизации Муниципального бюджетного учреждения культуры «Дворец культуры «Юность» и Муниципального бюджетного учреждения культуры «Центр культуры  «Да здравствуют дети!»).</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Каменск-Уральский краеведческий  музей  им. И.Я. </w:t>
      </w:r>
      <w:proofErr w:type="spellStart"/>
      <w:r w:rsidRPr="00E93862">
        <w:rPr>
          <w:rFonts w:ascii="Times New Roman" w:eastAsia="Times New Roman" w:hAnsi="Times New Roman" w:cs="Times New Roman"/>
          <w:sz w:val="24"/>
          <w:szCs w:val="24"/>
          <w:lang w:eastAsia="ru-RU"/>
        </w:rPr>
        <w:t>Стяжкина</w:t>
      </w:r>
      <w:proofErr w:type="spellEnd"/>
    </w:p>
    <w:tbl>
      <w:tblPr>
        <w:tblW w:w="0" w:type="auto"/>
        <w:tblCellSpacing w:w="15" w:type="dxa"/>
        <w:tblCellMar>
          <w:top w:w="15" w:type="dxa"/>
          <w:left w:w="15" w:type="dxa"/>
          <w:bottom w:w="15" w:type="dxa"/>
          <w:right w:w="15" w:type="dxa"/>
        </w:tblCellMar>
        <w:tblLook w:val="04A0"/>
      </w:tblPr>
      <w:tblGrid>
        <w:gridCol w:w="5074"/>
        <w:gridCol w:w="1208"/>
        <w:gridCol w:w="1276"/>
        <w:gridCol w:w="1843"/>
      </w:tblGrid>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 xml:space="preserve">Показатели </w:t>
            </w:r>
          </w:p>
        </w:tc>
        <w:tc>
          <w:tcPr>
            <w:tcW w:w="1178"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2013 год</w:t>
            </w:r>
          </w:p>
        </w:tc>
        <w:tc>
          <w:tcPr>
            <w:tcW w:w="1246"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2014 год</w:t>
            </w:r>
          </w:p>
        </w:tc>
        <w:tc>
          <w:tcPr>
            <w:tcW w:w="1798"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2015 год</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Основной фонд, ед.</w:t>
            </w:r>
          </w:p>
        </w:tc>
        <w:tc>
          <w:tcPr>
            <w:tcW w:w="117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52 553</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53 086</w:t>
            </w:r>
          </w:p>
        </w:tc>
        <w:tc>
          <w:tcPr>
            <w:tcW w:w="179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53 590</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выставок, ед.</w:t>
            </w:r>
          </w:p>
        </w:tc>
        <w:tc>
          <w:tcPr>
            <w:tcW w:w="117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23</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25</w:t>
            </w:r>
          </w:p>
        </w:tc>
        <w:tc>
          <w:tcPr>
            <w:tcW w:w="179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30</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посещений, чел.</w:t>
            </w:r>
          </w:p>
        </w:tc>
        <w:tc>
          <w:tcPr>
            <w:tcW w:w="117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28 596</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37 818</w:t>
            </w:r>
          </w:p>
        </w:tc>
        <w:tc>
          <w:tcPr>
            <w:tcW w:w="179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32 500</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Доходы от выставочной  деятельности, тыс. руб.</w:t>
            </w:r>
          </w:p>
        </w:tc>
        <w:tc>
          <w:tcPr>
            <w:tcW w:w="117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196,0</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203,9</w:t>
            </w:r>
          </w:p>
        </w:tc>
        <w:tc>
          <w:tcPr>
            <w:tcW w:w="179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190,82</w:t>
            </w:r>
          </w:p>
        </w:tc>
      </w:tr>
    </w:tbl>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Городской выставочный зал</w:t>
      </w:r>
    </w:p>
    <w:tbl>
      <w:tblPr>
        <w:tblW w:w="0" w:type="auto"/>
        <w:tblCellSpacing w:w="15" w:type="dxa"/>
        <w:tblCellMar>
          <w:top w:w="15" w:type="dxa"/>
          <w:left w:w="15" w:type="dxa"/>
          <w:bottom w:w="15" w:type="dxa"/>
          <w:right w:w="15" w:type="dxa"/>
        </w:tblCellMar>
        <w:tblLook w:val="04A0"/>
      </w:tblPr>
      <w:tblGrid>
        <w:gridCol w:w="5074"/>
        <w:gridCol w:w="1208"/>
        <w:gridCol w:w="1134"/>
        <w:gridCol w:w="1985"/>
      </w:tblGrid>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lastRenderedPageBreak/>
              <w:t xml:space="preserve">Показатели </w:t>
            </w:r>
          </w:p>
        </w:tc>
        <w:tc>
          <w:tcPr>
            <w:tcW w:w="1178"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2013 год</w:t>
            </w:r>
          </w:p>
        </w:tc>
        <w:tc>
          <w:tcPr>
            <w:tcW w:w="1104"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2014 год</w:t>
            </w:r>
          </w:p>
        </w:tc>
        <w:tc>
          <w:tcPr>
            <w:tcW w:w="1940"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2015 год</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выставок, ед.</w:t>
            </w:r>
          </w:p>
        </w:tc>
        <w:tc>
          <w:tcPr>
            <w:tcW w:w="117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45</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50</w:t>
            </w:r>
          </w:p>
        </w:tc>
        <w:tc>
          <w:tcPr>
            <w:tcW w:w="1940"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55</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экскурсий, ед.</w:t>
            </w:r>
          </w:p>
        </w:tc>
        <w:tc>
          <w:tcPr>
            <w:tcW w:w="117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178</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267</w:t>
            </w:r>
          </w:p>
        </w:tc>
        <w:tc>
          <w:tcPr>
            <w:tcW w:w="1940"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172</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посещений, чел.</w:t>
            </w:r>
          </w:p>
        </w:tc>
        <w:tc>
          <w:tcPr>
            <w:tcW w:w="117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95 630</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95 300</w:t>
            </w:r>
          </w:p>
        </w:tc>
        <w:tc>
          <w:tcPr>
            <w:tcW w:w="1940"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94 100</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Доходы от выставочной  деятельности, тыс. руб.</w:t>
            </w:r>
          </w:p>
        </w:tc>
        <w:tc>
          <w:tcPr>
            <w:tcW w:w="1178"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265,0</w:t>
            </w:r>
          </w:p>
        </w:tc>
        <w:tc>
          <w:tcPr>
            <w:tcW w:w="1104"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190,0</w:t>
            </w:r>
          </w:p>
        </w:tc>
        <w:tc>
          <w:tcPr>
            <w:tcW w:w="1940"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329,1</w:t>
            </w:r>
          </w:p>
        </w:tc>
      </w:tr>
    </w:tbl>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Централизованная библиотечная система</w:t>
      </w:r>
    </w:p>
    <w:tbl>
      <w:tblPr>
        <w:tblW w:w="0" w:type="auto"/>
        <w:tblCellSpacing w:w="15" w:type="dxa"/>
        <w:tblCellMar>
          <w:top w:w="15" w:type="dxa"/>
          <w:left w:w="15" w:type="dxa"/>
          <w:bottom w:w="15" w:type="dxa"/>
          <w:right w:w="15" w:type="dxa"/>
        </w:tblCellMar>
        <w:tblLook w:val="04A0"/>
      </w:tblPr>
      <w:tblGrid>
        <w:gridCol w:w="5432"/>
        <w:gridCol w:w="1417"/>
        <w:gridCol w:w="1276"/>
        <w:gridCol w:w="1320"/>
      </w:tblGrid>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Показатели</w:t>
            </w:r>
          </w:p>
        </w:tc>
        <w:tc>
          <w:tcPr>
            <w:tcW w:w="1387"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2013 год</w:t>
            </w:r>
          </w:p>
        </w:tc>
        <w:tc>
          <w:tcPr>
            <w:tcW w:w="1246"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2014 год</w:t>
            </w:r>
          </w:p>
        </w:tc>
        <w:tc>
          <w:tcPr>
            <w:tcW w:w="1275"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2015 год</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Книжный фонд,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384 652</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382 600</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370 000</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том числе количество электронных изданий,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36</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36</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56</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Новые поступления,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10 444</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9 730</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8 020</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Выбытие,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15 390</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38 821</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20 620</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читателей, чел.</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58 295</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55 352</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56 120</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посещений,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450 028</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417 749</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436 152</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Книговыдача,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1 253 082</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1 232 288</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1 250 549</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Количество библиотек, подключенных </w:t>
            </w:r>
            <w:proofErr w:type="gramStart"/>
            <w:r w:rsidRPr="00E93862">
              <w:rPr>
                <w:rFonts w:ascii="Times New Roman" w:eastAsia="Times New Roman" w:hAnsi="Times New Roman" w:cs="Times New Roman"/>
                <w:sz w:val="24"/>
                <w:szCs w:val="24"/>
                <w:lang w:eastAsia="ru-RU"/>
              </w:rPr>
              <w:t>к</w:t>
            </w:r>
            <w:proofErr w:type="gramEnd"/>
            <w:r w:rsidRPr="00E93862">
              <w:rPr>
                <w:rFonts w:ascii="Times New Roman" w:eastAsia="Times New Roman" w:hAnsi="Times New Roman" w:cs="Times New Roman"/>
                <w:sz w:val="24"/>
                <w:szCs w:val="24"/>
                <w:lang w:eastAsia="ru-RU"/>
              </w:rPr>
              <w:t xml:space="preserve">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Интернет,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13</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14</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14</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компьютеров,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83</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85</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86</w:t>
            </w:r>
          </w:p>
        </w:tc>
      </w:tr>
      <w:tr w:rsidR="00E93862" w:rsidRPr="00E93862" w:rsidTr="00E93862">
        <w:trPr>
          <w:tblCellSpacing w:w="15" w:type="dxa"/>
        </w:trPr>
        <w:tc>
          <w:tcPr>
            <w:tcW w:w="5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автоматизированных рабочих мест для читателей, ед.</w:t>
            </w:r>
          </w:p>
        </w:tc>
        <w:tc>
          <w:tcPr>
            <w:tcW w:w="1387"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35</w:t>
            </w:r>
          </w:p>
        </w:tc>
        <w:tc>
          <w:tcPr>
            <w:tcW w:w="1246"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35</w:t>
            </w:r>
          </w:p>
        </w:tc>
        <w:tc>
          <w:tcPr>
            <w:tcW w:w="1275"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35</w:t>
            </w:r>
          </w:p>
        </w:tc>
      </w:tr>
    </w:tbl>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Театр драмы</w:t>
      </w:r>
    </w:p>
    <w:tbl>
      <w:tblPr>
        <w:tblW w:w="0" w:type="auto"/>
        <w:tblCellSpacing w:w="15" w:type="dxa"/>
        <w:tblCellMar>
          <w:top w:w="15" w:type="dxa"/>
          <w:left w:w="15" w:type="dxa"/>
          <w:bottom w:w="15" w:type="dxa"/>
          <w:right w:w="15" w:type="dxa"/>
        </w:tblCellMar>
        <w:tblLook w:val="04A0"/>
      </w:tblPr>
      <w:tblGrid>
        <w:gridCol w:w="5820"/>
        <w:gridCol w:w="1171"/>
        <w:gridCol w:w="992"/>
        <w:gridCol w:w="1418"/>
      </w:tblGrid>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Показатели</w:t>
            </w:r>
          </w:p>
        </w:tc>
        <w:tc>
          <w:tcPr>
            <w:tcW w:w="1141"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2013 год</w:t>
            </w:r>
          </w:p>
        </w:tc>
        <w:tc>
          <w:tcPr>
            <w:tcW w:w="962"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2014 год</w:t>
            </w:r>
          </w:p>
        </w:tc>
        <w:tc>
          <w:tcPr>
            <w:tcW w:w="1373" w:type="dxa"/>
            <w:vAlign w:val="center"/>
            <w:hideMark/>
          </w:tcPr>
          <w:p w:rsidR="00E93862" w:rsidRPr="00E93862" w:rsidRDefault="00E93862" w:rsidP="00E938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3862">
              <w:rPr>
                <w:rFonts w:ascii="Times New Roman" w:eastAsia="Times New Roman" w:hAnsi="Times New Roman" w:cs="Times New Roman"/>
                <w:b/>
                <w:bCs/>
                <w:sz w:val="24"/>
                <w:szCs w:val="24"/>
                <w:lang w:eastAsia="ru-RU"/>
              </w:rPr>
              <w:t>2015 год</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спектаклей, ед.</w:t>
            </w:r>
          </w:p>
        </w:tc>
        <w:tc>
          <w:tcPr>
            <w:tcW w:w="114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286</w:t>
            </w:r>
          </w:p>
        </w:tc>
        <w:tc>
          <w:tcPr>
            <w:tcW w:w="962"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356</w:t>
            </w:r>
          </w:p>
        </w:tc>
        <w:tc>
          <w:tcPr>
            <w:tcW w:w="1373"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369</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Новые или капитально-возобновленные постановки, ед.</w:t>
            </w:r>
          </w:p>
        </w:tc>
        <w:tc>
          <w:tcPr>
            <w:tcW w:w="114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11</w:t>
            </w:r>
          </w:p>
        </w:tc>
        <w:tc>
          <w:tcPr>
            <w:tcW w:w="962"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11</w:t>
            </w:r>
          </w:p>
        </w:tc>
        <w:tc>
          <w:tcPr>
            <w:tcW w:w="1373"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9</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Количество зрителей, тыс. чел.</w:t>
            </w:r>
          </w:p>
        </w:tc>
        <w:tc>
          <w:tcPr>
            <w:tcW w:w="114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42,4</w:t>
            </w:r>
          </w:p>
        </w:tc>
        <w:tc>
          <w:tcPr>
            <w:tcW w:w="962"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51,2</w:t>
            </w:r>
          </w:p>
        </w:tc>
        <w:tc>
          <w:tcPr>
            <w:tcW w:w="1373"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46,5</w:t>
            </w:r>
          </w:p>
        </w:tc>
      </w:tr>
      <w:tr w:rsidR="00E93862" w:rsidRPr="00E93862" w:rsidTr="00E93862">
        <w:trPr>
          <w:tblCellSpacing w:w="15" w:type="dxa"/>
        </w:trPr>
        <w:tc>
          <w:tcPr>
            <w:tcW w:w="0" w:type="auto"/>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Доходы от спектаклей, тыс. руб.</w:t>
            </w:r>
          </w:p>
        </w:tc>
        <w:tc>
          <w:tcPr>
            <w:tcW w:w="1141"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4 305,9</w:t>
            </w:r>
          </w:p>
        </w:tc>
        <w:tc>
          <w:tcPr>
            <w:tcW w:w="962"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5 089,8</w:t>
            </w:r>
          </w:p>
        </w:tc>
        <w:tc>
          <w:tcPr>
            <w:tcW w:w="1373" w:type="dxa"/>
            <w:vAlign w:val="center"/>
            <w:hideMark/>
          </w:tcPr>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5 731,8</w:t>
            </w:r>
          </w:p>
        </w:tc>
      </w:tr>
    </w:tbl>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К числу проблем, с которыми столкнулась сфера культуры в 2015 году, следует отнести:</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 недостаточность финансирования;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связи с оптимизацией расходов бюджет сферы культуры в 2015 году сократился на 9 920,37 тыс</w:t>
      </w:r>
      <w:proofErr w:type="gramStart"/>
      <w:r w:rsidRPr="00E93862">
        <w:rPr>
          <w:rFonts w:ascii="Times New Roman" w:eastAsia="Times New Roman" w:hAnsi="Times New Roman" w:cs="Times New Roman"/>
          <w:sz w:val="24"/>
          <w:szCs w:val="24"/>
          <w:lang w:eastAsia="ru-RU"/>
        </w:rPr>
        <w:t>.р</w:t>
      </w:r>
      <w:proofErr w:type="gramEnd"/>
      <w:r w:rsidRPr="00E93862">
        <w:rPr>
          <w:rFonts w:ascii="Times New Roman" w:eastAsia="Times New Roman" w:hAnsi="Times New Roman" w:cs="Times New Roman"/>
          <w:sz w:val="24"/>
          <w:szCs w:val="24"/>
          <w:lang w:eastAsia="ru-RU"/>
        </w:rPr>
        <w:t xml:space="preserve">уб., это не позволило в полном объеме достичь показателей в соответствие с майскими Указами Президента РФ, улучшить защищенность объектов культуры (установить видеонаблюдение), выполнить все предписания надзорных органов. Требуются капитальные вложения на реконструкцию западного корпуса Краеведческого музея. Помещения Центральной городской библиотеки им. А.С. Пушкина, ДК «Современник», фасады детского культурного центра, детской художественной школы №1, Социально-культурного центра, Театра драмы требуют капитального ремонта. Не завершены работы по реконструкции Выставочного зала. Требуется помещение для информационно-библиотечного центра для детей и юношества в микрорайоне </w:t>
      </w:r>
      <w:proofErr w:type="gramStart"/>
      <w:r w:rsidRPr="00E93862">
        <w:rPr>
          <w:rFonts w:ascii="Times New Roman" w:eastAsia="Times New Roman" w:hAnsi="Times New Roman" w:cs="Times New Roman"/>
          <w:sz w:val="24"/>
          <w:szCs w:val="24"/>
          <w:lang w:eastAsia="ru-RU"/>
        </w:rPr>
        <w:t>Южный</w:t>
      </w:r>
      <w:proofErr w:type="gramEnd"/>
      <w:r w:rsidRPr="00E93862">
        <w:rPr>
          <w:rFonts w:ascii="Times New Roman" w:eastAsia="Times New Roman" w:hAnsi="Times New Roman" w:cs="Times New Roman"/>
          <w:sz w:val="24"/>
          <w:szCs w:val="24"/>
          <w:lang w:eastAsia="ru-RU"/>
        </w:rPr>
        <w:t>. Назрела необходимость строительства здания хореографической школы;</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lastRenderedPageBreak/>
        <w:t>- старение педагогических и творческих кадров;</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 большой процент износа музыкальных инструментов (фортепиано, аккордеоны,  домры, гитары); </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 xml:space="preserve">- не обеспечена доступность учреждений культуры и услуг учреждений культуры людям с ограниченными возможностями здоровья, </w:t>
      </w:r>
      <w:proofErr w:type="spellStart"/>
      <w:r w:rsidRPr="00E93862">
        <w:rPr>
          <w:rFonts w:ascii="Times New Roman" w:eastAsia="Times New Roman" w:hAnsi="Times New Roman" w:cs="Times New Roman"/>
          <w:sz w:val="24"/>
          <w:szCs w:val="24"/>
          <w:lang w:eastAsia="ru-RU"/>
        </w:rPr>
        <w:t>маломобильным</w:t>
      </w:r>
      <w:proofErr w:type="spellEnd"/>
      <w:r w:rsidRPr="00E93862">
        <w:rPr>
          <w:rFonts w:ascii="Times New Roman" w:eastAsia="Times New Roman" w:hAnsi="Times New Roman" w:cs="Times New Roman"/>
          <w:sz w:val="24"/>
          <w:szCs w:val="24"/>
          <w:lang w:eastAsia="ru-RU"/>
        </w:rPr>
        <w:t xml:space="preserve"> группам населения, не обучены специалисты для работы с людьми с ограниченными возможностями здоровья.</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Перспективы и основные направления развития отрасли в 2016 году:</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Во исполнение майских Указов Президента РФ продолжится реализация мероприятий «дорожной карты», направленных на создание эффективных условий для решения актуальных задач и проблем в сфере культуры.</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Продолжится реализация муниципальной программы «Сохранение и развитие сферы культуры в городе Каменске-Уральском» на 2014-2018 годы.</w:t>
      </w:r>
    </w:p>
    <w:p w:rsidR="00E93862" w:rsidRPr="00E93862" w:rsidRDefault="00E93862" w:rsidP="00E93862">
      <w:pPr>
        <w:spacing w:before="100" w:beforeAutospacing="1" w:after="100" w:afterAutospacing="1" w:line="240" w:lineRule="auto"/>
        <w:rPr>
          <w:rFonts w:ascii="Times New Roman" w:eastAsia="Times New Roman" w:hAnsi="Times New Roman" w:cs="Times New Roman"/>
          <w:sz w:val="24"/>
          <w:szCs w:val="24"/>
          <w:lang w:eastAsia="ru-RU"/>
        </w:rPr>
      </w:pPr>
      <w:r w:rsidRPr="00E93862">
        <w:rPr>
          <w:rFonts w:ascii="Times New Roman" w:eastAsia="Times New Roman" w:hAnsi="Times New Roman" w:cs="Times New Roman"/>
          <w:sz w:val="24"/>
          <w:szCs w:val="24"/>
          <w:lang w:eastAsia="ru-RU"/>
        </w:rPr>
        <w:t>В 2016 году Каменску-Уральскому исполнится 315 лет. В честь этого события состоится карнавал. Это прекрасная возможность сплотить активную часть городского сообщества для участия в крупном, общем проекте. В карнавале примут участие представители предприятий, учреждений, фирм, общественных организаций города, все желающие. Тема предстоящего карнавала связана с объявленным в 2016 году Годом отечественного кино - «</w:t>
      </w:r>
      <w:proofErr w:type="spellStart"/>
      <w:r w:rsidRPr="00E93862">
        <w:rPr>
          <w:rFonts w:ascii="Times New Roman" w:eastAsia="Times New Roman" w:hAnsi="Times New Roman" w:cs="Times New Roman"/>
          <w:sz w:val="24"/>
          <w:szCs w:val="24"/>
          <w:lang w:eastAsia="ru-RU"/>
        </w:rPr>
        <w:t>Каннско-Уральский</w:t>
      </w:r>
      <w:proofErr w:type="spellEnd"/>
      <w:r w:rsidRPr="00E93862">
        <w:rPr>
          <w:rFonts w:ascii="Times New Roman" w:eastAsia="Times New Roman" w:hAnsi="Times New Roman" w:cs="Times New Roman"/>
          <w:sz w:val="24"/>
          <w:szCs w:val="24"/>
          <w:lang w:eastAsia="ru-RU"/>
        </w:rPr>
        <w:t xml:space="preserve"> кинофестиваль». </w:t>
      </w:r>
    </w:p>
    <w:p w:rsidR="0063051E" w:rsidRDefault="00E93862"/>
    <w:sectPr w:rsidR="0063051E" w:rsidSect="00377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862"/>
    <w:rsid w:val="00073052"/>
    <w:rsid w:val="0037756A"/>
    <w:rsid w:val="00561C8C"/>
    <w:rsid w:val="00E9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eft">
    <w:name w:val="aleft"/>
    <w:basedOn w:val="a"/>
    <w:rsid w:val="00E9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93862"/>
    <w:rPr>
      <w:b/>
      <w:bCs/>
    </w:rPr>
  </w:style>
  <w:style w:type="paragraph" w:styleId="a4">
    <w:name w:val="Normal (Web)"/>
    <w:basedOn w:val="a"/>
    <w:uiPriority w:val="99"/>
    <w:unhideWhenUsed/>
    <w:rsid w:val="00E9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enter">
    <w:name w:val="acenter"/>
    <w:basedOn w:val="a"/>
    <w:rsid w:val="00E93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2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2632</Words>
  <Characters>15003</Characters>
  <Application>Microsoft Office Word</Application>
  <DocSecurity>0</DocSecurity>
  <Lines>125</Lines>
  <Paragraphs>35</Paragraphs>
  <ScaleCrop>false</ScaleCrop>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2016-03-14T10:17:00Z</dcterms:created>
  <dcterms:modified xsi:type="dcterms:W3CDTF">2016-03-14T10:24:00Z</dcterms:modified>
</cp:coreProperties>
</file>